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29" w:rsidRPr="007B750B" w:rsidRDefault="00814429" w:rsidP="00814429">
      <w:pPr>
        <w:pStyle w:val="a4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 wp14:anchorId="55C67A59" wp14:editId="3A508A44">
            <wp:extent cx="600075" cy="752475"/>
            <wp:effectExtent l="0" t="0" r="9525" b="9525"/>
            <wp:docPr id="1" name="Рисунок 1" descr="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29" w:rsidRPr="007B750B" w:rsidRDefault="00814429" w:rsidP="00814429">
      <w:pPr>
        <w:pStyle w:val="a4"/>
        <w:rPr>
          <w:bCs/>
          <w:szCs w:val="28"/>
        </w:rPr>
      </w:pPr>
      <w:r w:rsidRPr="007B750B">
        <w:rPr>
          <w:bCs/>
          <w:szCs w:val="28"/>
        </w:rPr>
        <w:t>АДМИНИСТРАЦИЯ</w:t>
      </w:r>
    </w:p>
    <w:p w:rsidR="00814429" w:rsidRPr="007B750B" w:rsidRDefault="00814429" w:rsidP="00814429">
      <w:pPr>
        <w:pStyle w:val="a4"/>
        <w:rPr>
          <w:b w:val="0"/>
          <w:bCs/>
          <w:szCs w:val="28"/>
        </w:rPr>
      </w:pPr>
      <w:r w:rsidRPr="007B750B">
        <w:rPr>
          <w:b w:val="0"/>
          <w:bCs/>
          <w:szCs w:val="28"/>
        </w:rPr>
        <w:t>ХАНКАЙСКОГО МУНИЦИПАЛЬНОГО ОКРУГА</w:t>
      </w:r>
    </w:p>
    <w:p w:rsidR="00814429" w:rsidRPr="007B750B" w:rsidRDefault="00814429" w:rsidP="00814429">
      <w:pPr>
        <w:pStyle w:val="3"/>
        <w:rPr>
          <w:b w:val="0"/>
          <w:bCs/>
          <w:sz w:val="28"/>
          <w:szCs w:val="28"/>
        </w:rPr>
      </w:pPr>
      <w:r w:rsidRPr="007B750B">
        <w:rPr>
          <w:b w:val="0"/>
          <w:bCs/>
          <w:sz w:val="28"/>
          <w:szCs w:val="28"/>
        </w:rPr>
        <w:t>ПРИМОРСКОГО КРАЯ</w:t>
      </w:r>
    </w:p>
    <w:p w:rsidR="00814429" w:rsidRPr="007B750B" w:rsidRDefault="00814429" w:rsidP="00814429">
      <w:pPr>
        <w:rPr>
          <w:rFonts w:ascii="Times New Roman" w:hAnsi="Times New Roman" w:cs="Times New Roman"/>
        </w:rPr>
      </w:pPr>
    </w:p>
    <w:p w:rsidR="00814429" w:rsidRPr="007B750B" w:rsidRDefault="00814429" w:rsidP="00814429">
      <w:pPr>
        <w:pStyle w:val="3"/>
        <w:rPr>
          <w:b w:val="0"/>
          <w:spacing w:val="60"/>
          <w:sz w:val="28"/>
          <w:szCs w:val="28"/>
        </w:rPr>
      </w:pPr>
      <w:r w:rsidRPr="007B750B">
        <w:rPr>
          <w:b w:val="0"/>
          <w:spacing w:val="60"/>
          <w:sz w:val="28"/>
          <w:szCs w:val="28"/>
        </w:rPr>
        <w:t>ПОСТАНОВЛЕНИЕ</w:t>
      </w:r>
    </w:p>
    <w:p w:rsidR="00814429" w:rsidRPr="007B750B" w:rsidRDefault="00814429" w:rsidP="00814429">
      <w:pPr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1560"/>
        <w:gridCol w:w="1700"/>
        <w:gridCol w:w="3542"/>
        <w:gridCol w:w="286"/>
        <w:gridCol w:w="608"/>
        <w:gridCol w:w="23"/>
        <w:gridCol w:w="645"/>
        <w:gridCol w:w="1420"/>
        <w:gridCol w:w="139"/>
      </w:tblGrid>
      <w:tr w:rsidR="00814429" w:rsidRPr="007B750B" w:rsidTr="00AD478F">
        <w:trPr>
          <w:trHeight w:val="20"/>
        </w:trPr>
        <w:tc>
          <w:tcPr>
            <w:tcW w:w="3260" w:type="dxa"/>
            <w:gridSpan w:val="2"/>
          </w:tcPr>
          <w:p w:rsidR="00814429" w:rsidRPr="007B750B" w:rsidRDefault="00814429" w:rsidP="00AD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3542" w:type="dxa"/>
          </w:tcPr>
          <w:p w:rsidR="00814429" w:rsidRPr="007B750B" w:rsidRDefault="00814429" w:rsidP="00AD478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750B">
              <w:rPr>
                <w:rFonts w:ascii="Times New Roman" w:hAnsi="Times New Roman" w:cs="Times New Roman"/>
              </w:rPr>
              <w:t>с</w:t>
            </w:r>
            <w:proofErr w:type="gramEnd"/>
            <w:r w:rsidRPr="007B750B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562" w:type="dxa"/>
            <w:gridSpan w:val="4"/>
          </w:tcPr>
          <w:p w:rsidR="00814429" w:rsidRPr="007B750B" w:rsidRDefault="00814429" w:rsidP="00AD478F">
            <w:pPr>
              <w:jc w:val="right"/>
              <w:rPr>
                <w:rFonts w:ascii="Times New Roman" w:hAnsi="Times New Roman" w:cs="Times New Roman"/>
              </w:rPr>
            </w:pPr>
            <w:r w:rsidRPr="007B75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gridSpan w:val="2"/>
          </w:tcPr>
          <w:p w:rsidR="00814429" w:rsidRPr="007B750B" w:rsidRDefault="00814429" w:rsidP="00AD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</w:tr>
      <w:tr w:rsidR="00814429" w:rsidRPr="007B750B" w:rsidTr="00AD478F">
        <w:trPr>
          <w:trHeight w:val="20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rPr>
                <w:rFonts w:ascii="Times New Roman" w:hAnsi="Times New Roman" w:cs="Times New Roman"/>
              </w:rPr>
            </w:pPr>
          </w:p>
        </w:tc>
      </w:tr>
      <w:tr w:rsidR="00814429" w:rsidRPr="007B750B" w:rsidTr="00AD478F">
        <w:trPr>
          <w:trHeight w:val="1059"/>
        </w:trPr>
        <w:tc>
          <w:tcPr>
            <w:tcW w:w="1560" w:type="dxa"/>
          </w:tcPr>
          <w:p w:rsidR="00814429" w:rsidRPr="007B750B" w:rsidRDefault="00814429" w:rsidP="00AD478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136" w:type="dxa"/>
            <w:gridSpan w:val="4"/>
          </w:tcPr>
          <w:p w:rsidR="00814429" w:rsidRPr="007B750B" w:rsidRDefault="00814429" w:rsidP="0081442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 одобрении п</w:t>
            </w:r>
            <w:r w:rsidRPr="00196869">
              <w:rPr>
                <w:rFonts w:ascii="Times New Roman" w:hAnsi="Times New Roman" w:cs="Times New Roman"/>
                <w:b/>
                <w:lang w:eastAsia="en-US"/>
              </w:rPr>
              <w:t xml:space="preserve">рогноза социально-экономического развития Ханкайского муниципального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округ</w:t>
            </w:r>
            <w:r w:rsidRPr="00196869">
              <w:rPr>
                <w:rFonts w:ascii="Times New Roman" w:hAnsi="Times New Roman" w:cs="Times New Roman"/>
                <w:b/>
                <w:lang w:eastAsia="en-US"/>
              </w:rPr>
              <w:t>а на 202</w:t>
            </w: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Pr="00196869">
              <w:rPr>
                <w:rFonts w:ascii="Times New Roman" w:hAnsi="Times New Roman" w:cs="Times New Roman"/>
                <w:b/>
                <w:lang w:eastAsia="en-US"/>
              </w:rPr>
              <w:t xml:space="preserve"> год 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плановый период до 2026 года</w:t>
            </w:r>
          </w:p>
        </w:tc>
        <w:tc>
          <w:tcPr>
            <w:tcW w:w="2227" w:type="dxa"/>
            <w:gridSpan w:val="4"/>
          </w:tcPr>
          <w:p w:rsidR="00814429" w:rsidRPr="007B750B" w:rsidRDefault="00814429" w:rsidP="00AD478F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14429" w:rsidRPr="007B750B" w:rsidTr="00AD478F">
        <w:trPr>
          <w:trHeight w:val="296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pStyle w:val="a7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4429" w:rsidRPr="007B750B" w:rsidTr="00AD478F">
        <w:trPr>
          <w:trHeight w:val="304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pStyle w:val="a7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4429" w:rsidRPr="007B750B" w:rsidTr="00AD478F">
        <w:trPr>
          <w:trHeight w:val="308"/>
        </w:trPr>
        <w:tc>
          <w:tcPr>
            <w:tcW w:w="9923" w:type="dxa"/>
            <w:gridSpan w:val="9"/>
          </w:tcPr>
          <w:p w:rsidR="00814429" w:rsidRPr="007B750B" w:rsidRDefault="00814429" w:rsidP="002724CF">
            <w:pPr>
              <w:pStyle w:val="a7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96869">
              <w:rPr>
                <w:sz w:val="28"/>
                <w:szCs w:val="28"/>
                <w:lang w:eastAsia="en-US"/>
              </w:rPr>
              <w:t xml:space="preserve">В </w:t>
            </w:r>
            <w:r w:rsidRPr="00976F56">
              <w:rPr>
                <w:sz w:val="28"/>
                <w:szCs w:val="28"/>
                <w:lang w:eastAsia="en-US"/>
              </w:rPr>
              <w:t>соответствии с Бюджетны</w:t>
            </w:r>
            <w:r w:rsidR="002724CF">
              <w:rPr>
                <w:sz w:val="28"/>
                <w:szCs w:val="28"/>
                <w:lang w:eastAsia="en-US"/>
              </w:rPr>
              <w:t>м кодексом Российской Федерации</w:t>
            </w:r>
            <w:r>
              <w:rPr>
                <w:sz w:val="28"/>
                <w:szCs w:val="28"/>
                <w:lang w:eastAsia="en-US"/>
              </w:rPr>
              <w:t>, решением Думы Ханкайского муниципального округа от 30.11.2021 №</w:t>
            </w:r>
            <w:r w:rsidR="002724C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295 </w:t>
            </w:r>
            <w:r w:rsidRPr="00976F56">
              <w:rPr>
                <w:sz w:val="28"/>
                <w:szCs w:val="28"/>
                <w:lang w:eastAsia="en-US"/>
              </w:rPr>
              <w:t>«Об утверждении Порядка разработки документов стратегического планирования в</w:t>
            </w:r>
            <w:r>
              <w:rPr>
                <w:sz w:val="28"/>
                <w:szCs w:val="28"/>
                <w:lang w:eastAsia="en-US"/>
              </w:rPr>
              <w:t xml:space="preserve"> Ханкайском муниципальном округе</w:t>
            </w:r>
            <w:r w:rsidRPr="00976F56">
              <w:rPr>
                <w:sz w:val="28"/>
                <w:szCs w:val="28"/>
                <w:lang w:eastAsia="en-US"/>
              </w:rPr>
              <w:t>»,</w:t>
            </w:r>
            <w:r w:rsidR="002724CF" w:rsidRPr="002724CF">
              <w:rPr>
                <w:sz w:val="28"/>
                <w:szCs w:val="28"/>
                <w:lang w:eastAsia="en-US"/>
              </w:rPr>
              <w:t xml:space="preserve"> на основании Порядка разработки и корректировки прогноза социально-экономического развития Ханкайского муниципального округа на среднесрочный период</w:t>
            </w:r>
            <w:r w:rsidR="00420EB7">
              <w:rPr>
                <w:sz w:val="28"/>
                <w:szCs w:val="28"/>
                <w:lang w:eastAsia="en-US"/>
              </w:rPr>
              <w:t>, утвержденного постановлением А</w:t>
            </w:r>
            <w:r w:rsidR="002724CF" w:rsidRPr="002724CF">
              <w:rPr>
                <w:sz w:val="28"/>
                <w:szCs w:val="28"/>
                <w:lang w:eastAsia="en-US"/>
              </w:rPr>
              <w:t>дминистрации Ханкайского муниципального округа от 01.02.2022 № 206-па, Администрация Ханкайского муниципального округа</w:t>
            </w:r>
            <w:r w:rsidR="00420EB7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proofErr w:type="gramEnd"/>
          </w:p>
        </w:tc>
      </w:tr>
      <w:tr w:rsidR="00814429" w:rsidRPr="007B750B" w:rsidTr="00AD478F">
        <w:trPr>
          <w:trHeight w:val="308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pStyle w:val="a7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4429" w:rsidRPr="007B750B" w:rsidTr="00AD478F">
        <w:trPr>
          <w:trHeight w:val="308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pStyle w:val="a7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7B750B">
              <w:rPr>
                <w:sz w:val="28"/>
                <w:szCs w:val="28"/>
                <w:lang w:eastAsia="en-US"/>
              </w:rPr>
              <w:t>ПОСТАНОВЛЯЕТ:</w:t>
            </w:r>
          </w:p>
        </w:tc>
      </w:tr>
      <w:tr w:rsidR="00814429" w:rsidRPr="007B750B" w:rsidTr="00AD478F">
        <w:trPr>
          <w:trHeight w:val="308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pStyle w:val="a7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4429" w:rsidRPr="007B750B" w:rsidTr="00AD478F">
        <w:trPr>
          <w:trHeight w:val="308"/>
        </w:trPr>
        <w:tc>
          <w:tcPr>
            <w:tcW w:w="9923" w:type="dxa"/>
            <w:gridSpan w:val="9"/>
          </w:tcPr>
          <w:p w:rsidR="00814429" w:rsidRPr="00196869" w:rsidRDefault="00814429" w:rsidP="00AD478F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96869">
              <w:rPr>
                <w:rFonts w:ascii="Times New Roman" w:hAnsi="Times New Roman" w:cs="Times New Roman"/>
              </w:rPr>
              <w:t>1. Одобрить</w:t>
            </w:r>
            <w:r>
              <w:rPr>
                <w:rFonts w:ascii="Times New Roman" w:hAnsi="Times New Roman" w:cs="Times New Roman"/>
              </w:rPr>
              <w:t xml:space="preserve"> прилагаемый п</w:t>
            </w:r>
            <w:r w:rsidRPr="00196869">
              <w:rPr>
                <w:rFonts w:ascii="Times New Roman" w:hAnsi="Times New Roman" w:cs="Times New Roman"/>
              </w:rPr>
              <w:t xml:space="preserve">рогноз социально-экономического развития Ханкайского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196869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4</w:t>
            </w:r>
            <w:r w:rsidRPr="00196869">
              <w:rPr>
                <w:rFonts w:ascii="Times New Roman" w:hAnsi="Times New Roman" w:cs="Times New Roman"/>
              </w:rPr>
              <w:t xml:space="preserve"> год и</w:t>
            </w:r>
            <w:r>
              <w:rPr>
                <w:rFonts w:ascii="Times New Roman" w:hAnsi="Times New Roman" w:cs="Times New Roman"/>
              </w:rPr>
              <w:t xml:space="preserve"> плановый период до 2026 года. </w:t>
            </w:r>
          </w:p>
          <w:p w:rsidR="00814429" w:rsidRPr="007B750B" w:rsidRDefault="00814429" w:rsidP="00AD478F">
            <w:pPr>
              <w:pStyle w:val="a7"/>
              <w:spacing w:after="0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925C2C">
              <w:rPr>
                <w:rFonts w:cs="Arial"/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925C2C">
              <w:rPr>
                <w:color w:val="000000"/>
                <w:spacing w:val="-4"/>
                <w:sz w:val="28"/>
                <w:szCs w:val="28"/>
              </w:rPr>
              <w:t>Разместить</w:t>
            </w:r>
            <w:proofErr w:type="gramEnd"/>
            <w:r w:rsidRPr="00925C2C">
              <w:rPr>
                <w:color w:val="000000"/>
                <w:spacing w:val="-4"/>
                <w:sz w:val="28"/>
                <w:szCs w:val="28"/>
              </w:rPr>
              <w:t xml:space="preserve"> настоящее постановление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округа.</w:t>
            </w:r>
          </w:p>
        </w:tc>
      </w:tr>
      <w:tr w:rsidR="00814429" w:rsidRPr="007B750B" w:rsidTr="00AD478F">
        <w:trPr>
          <w:trHeight w:val="308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pStyle w:val="a7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4429" w:rsidRPr="007B750B" w:rsidTr="00AD478F">
        <w:trPr>
          <w:trHeight w:val="308"/>
        </w:trPr>
        <w:tc>
          <w:tcPr>
            <w:tcW w:w="9923" w:type="dxa"/>
            <w:gridSpan w:val="9"/>
          </w:tcPr>
          <w:p w:rsidR="00814429" w:rsidRPr="007B750B" w:rsidRDefault="00814429" w:rsidP="00AD478F">
            <w:pPr>
              <w:pStyle w:val="a7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14429" w:rsidRPr="007B750B" w:rsidTr="00AD478F">
        <w:trPr>
          <w:trHeight w:val="20"/>
        </w:trPr>
        <w:tc>
          <w:tcPr>
            <w:tcW w:w="7088" w:type="dxa"/>
            <w:gridSpan w:val="4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429" w:rsidRPr="004F2743" w:rsidTr="00AD478F">
        <w:tblPrEx>
          <w:tblLook w:val="0000" w:firstRow="0" w:lastRow="0" w:firstColumn="0" w:lastColumn="0" w:noHBand="0" w:noVBand="0"/>
        </w:tblPrEx>
        <w:trPr>
          <w:gridAfter w:val="1"/>
          <w:wAfter w:w="139" w:type="dxa"/>
          <w:trHeight w:val="285"/>
        </w:trPr>
        <w:tc>
          <w:tcPr>
            <w:tcW w:w="7719" w:type="dxa"/>
            <w:gridSpan w:val="6"/>
          </w:tcPr>
          <w:p w:rsidR="00814429" w:rsidRPr="00EF436B" w:rsidRDefault="009B1691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г</w:t>
            </w:r>
            <w:r w:rsidR="00814429" w:rsidRPr="00EF436B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814429" w:rsidRPr="00EF436B">
              <w:rPr>
                <w:rFonts w:ascii="Times New Roman" w:hAnsi="Times New Roman" w:cs="Times New Roman"/>
              </w:rPr>
              <w:t xml:space="preserve"> Ханкайского</w:t>
            </w:r>
          </w:p>
          <w:p w:rsidR="00814429" w:rsidRPr="00EF436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436B">
              <w:rPr>
                <w:rFonts w:ascii="Times New Roman" w:hAnsi="Times New Roman" w:cs="Times New Roman"/>
              </w:rPr>
              <w:t>муниципального округа –</w:t>
            </w:r>
          </w:p>
          <w:p w:rsidR="00814429" w:rsidRPr="00EF436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436B">
              <w:rPr>
                <w:rFonts w:ascii="Times New Roman" w:hAnsi="Times New Roman" w:cs="Times New Roman"/>
              </w:rPr>
              <w:t>глав</w:t>
            </w:r>
            <w:r w:rsidR="009B1691">
              <w:rPr>
                <w:rFonts w:ascii="Times New Roman" w:hAnsi="Times New Roman" w:cs="Times New Roman"/>
              </w:rPr>
              <w:t>ы</w:t>
            </w:r>
            <w:r w:rsidRPr="00EF436B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814429" w:rsidRPr="004F2743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F436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2065" w:type="dxa"/>
            <w:gridSpan w:val="2"/>
          </w:tcPr>
          <w:p w:rsidR="00814429" w:rsidRPr="004F2743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4429" w:rsidRPr="004F2743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4429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F2743">
              <w:rPr>
                <w:rFonts w:ascii="Times New Roman" w:hAnsi="Times New Roman" w:cs="Times New Roman"/>
              </w:rPr>
              <w:t xml:space="preserve"> </w:t>
            </w:r>
          </w:p>
          <w:p w:rsidR="00814429" w:rsidRPr="004F2743" w:rsidRDefault="00814429" w:rsidP="009B1691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</w:t>
            </w:r>
            <w:r w:rsidR="009B1691">
              <w:rPr>
                <w:rFonts w:ascii="Times New Roman" w:hAnsi="Times New Roman" w:cs="Times New Roman"/>
              </w:rPr>
              <w:t>А. Васильев</w:t>
            </w:r>
          </w:p>
        </w:tc>
      </w:tr>
      <w:tr w:rsidR="00814429" w:rsidRPr="007B750B" w:rsidTr="00AD478F">
        <w:trPr>
          <w:trHeight w:val="20"/>
        </w:trPr>
        <w:tc>
          <w:tcPr>
            <w:tcW w:w="7088" w:type="dxa"/>
            <w:gridSpan w:val="4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429" w:rsidRPr="007B750B" w:rsidTr="00AD478F">
        <w:trPr>
          <w:trHeight w:val="20"/>
        </w:trPr>
        <w:tc>
          <w:tcPr>
            <w:tcW w:w="7088" w:type="dxa"/>
            <w:gridSpan w:val="4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4429" w:rsidRPr="007B750B" w:rsidTr="00AD478F">
        <w:trPr>
          <w:trHeight w:val="20"/>
        </w:trPr>
        <w:tc>
          <w:tcPr>
            <w:tcW w:w="7088" w:type="dxa"/>
            <w:gridSpan w:val="4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814429" w:rsidRPr="007B750B" w:rsidRDefault="00814429" w:rsidP="00AD478F">
            <w:pPr>
              <w:pStyle w:val="a5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14429" w:rsidRDefault="00814429" w:rsidP="00814429">
      <w:pPr>
        <w:jc w:val="right"/>
        <w:rPr>
          <w:rFonts w:ascii="Times New Roman" w:hAnsi="Times New Roman" w:cs="Times New Roman"/>
        </w:rPr>
      </w:pPr>
    </w:p>
    <w:p w:rsidR="007F5FC9" w:rsidRPr="000F3A3F" w:rsidRDefault="007F5FC9" w:rsidP="007F5FC9">
      <w:pPr>
        <w:rPr>
          <w:rFonts w:ascii="Times New Roman" w:hAnsi="Times New Roman" w:cs="Times New Roman"/>
          <w:b/>
          <w:color w:val="auto"/>
          <w:spacing w:val="0"/>
        </w:rPr>
      </w:pP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F5FC9">
        <w:rPr>
          <w:rFonts w:ascii="Times New Roman" w:hAnsi="Times New Roman" w:cs="Times New Roman"/>
          <w:b/>
          <w:color w:val="auto"/>
          <w:spacing w:val="0"/>
        </w:rPr>
        <w:t>Пояснительная записка</w:t>
      </w: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F5FC9">
        <w:rPr>
          <w:rFonts w:ascii="Times New Roman" w:hAnsi="Times New Roman" w:cs="Times New Roman"/>
          <w:b/>
          <w:color w:val="auto"/>
          <w:spacing w:val="0"/>
        </w:rPr>
        <w:t>к основным показателям прогноза социально-экономического развития Ханкайского муниципального округа Приморского края</w:t>
      </w: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F5FC9">
        <w:rPr>
          <w:rFonts w:ascii="Times New Roman" w:hAnsi="Times New Roman" w:cs="Times New Roman"/>
          <w:b/>
          <w:color w:val="auto"/>
          <w:spacing w:val="0"/>
        </w:rPr>
        <w:t>на 2024 год и плановый период до 2026 года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 xml:space="preserve">Прогноз социально-экономического развития Ханкайского муниципального округа на 2024 год и плановый период до 2026 года разработан исходя из сценарных условий, основных параметров прогноза социально-экономического развития Российской Федерации на 2024 год и плановый период 2025 и 2026 годов, а также с учетом итогов социально-экономического развития муниципального округа в 2022 году и  первое полугодие 2023 года. </w:t>
      </w:r>
      <w:proofErr w:type="gramEnd"/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Для разработки прогноза развития экономики и социальной сферы муниципального округа в 2024-2026 годах используется консервативный и базовый вариант развития. 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Основными отраслями в экономике Ханкайского муниципального округа, обеспечивающие основную занятость населения в реальном секторе: сельское хозяйство и розничная торговля, бюджетные организации здравоохранения, образования  и др.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7F5FC9" w:rsidRPr="007F5FC9" w:rsidRDefault="007F5FC9" w:rsidP="007F5F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b/>
          <w:color w:val="auto"/>
          <w:spacing w:val="0"/>
        </w:rPr>
        <w:t>Демографическая ситуация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  <w:r w:rsidRPr="007F5FC9">
        <w:rPr>
          <w:rFonts w:ascii="Times New Roman" w:hAnsi="Times New Roman" w:cs="Times New Roman"/>
          <w:spacing w:val="0"/>
        </w:rPr>
        <w:t xml:space="preserve">В 2023 году численность постоянного населения в </w:t>
      </w:r>
      <w:r w:rsidRPr="007F5FC9">
        <w:rPr>
          <w:rFonts w:ascii="Times New Roman" w:hAnsi="Times New Roman" w:cs="Times New Roman"/>
          <w:color w:val="auto"/>
          <w:spacing w:val="0"/>
        </w:rPr>
        <w:t>Ханкайском муниципальном округе</w:t>
      </w:r>
      <w:r w:rsidRPr="007F5FC9">
        <w:rPr>
          <w:rFonts w:ascii="Times New Roman" w:hAnsi="Times New Roman" w:cs="Times New Roman"/>
          <w:spacing w:val="0"/>
        </w:rPr>
        <w:t xml:space="preserve"> составит 17,2 тыс. человек, к 2026 году ожидается снижение на 1200 человек, это связано как с ростом смертности, так и с оттоком за пределы округа. 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  <w:r w:rsidRPr="007F5FC9">
        <w:rPr>
          <w:rFonts w:ascii="Times New Roman" w:hAnsi="Times New Roman" w:cs="Times New Roman"/>
          <w:spacing w:val="0"/>
        </w:rPr>
        <w:t>Число родившихся за январь-май 2023 года составило 78 человек, что на 97,5% меньше уровня прошлого года. Число умерших за январь-май 2023 года составило 126 человек, что на 80,3% меньше уровня прошлого года.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  <w:r w:rsidRPr="007F5FC9">
        <w:rPr>
          <w:rFonts w:ascii="Times New Roman" w:hAnsi="Times New Roman" w:cs="Times New Roman"/>
          <w:spacing w:val="0"/>
        </w:rPr>
        <w:t>Миграционная убыль за 2022 год составила 311 человек. Миграционная убыль за январь-май 2023 года составила 149 человека. В прогнозном периоде 2024-2026 гг. миграционная убыль составит 171 человек.</w:t>
      </w: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color w:val="auto"/>
          <w:spacing w:val="0"/>
        </w:rPr>
      </w:pP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F5FC9">
        <w:rPr>
          <w:rFonts w:ascii="Times New Roman" w:hAnsi="Times New Roman" w:cs="Times New Roman"/>
          <w:b/>
          <w:color w:val="auto"/>
          <w:spacing w:val="0"/>
        </w:rPr>
        <w:t>Сельское хозяйство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Ведущее место в экономической деятельности округа принадлежит сельскому хозяйству.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В 2022 году ожидались более высокие показатели по сбору урожая, однако фактором влияния стали неблагоприятные погодные условия в крае.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 В 2023 году развитие сельскохозяйственной отрасли на территории муниципального округа может характеризоваться положительной динамикой производственных показателей.  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Доминирующей отраслью в сельском хозяйстве остается растениеводство.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В отрасли растениеводства структура посевных площадей рассчитана на увеличение производства высокодоходных и пользующихся спросом на </w:t>
      </w:r>
      <w:r w:rsidRPr="007F5FC9">
        <w:rPr>
          <w:rFonts w:ascii="Times New Roman" w:hAnsi="Times New Roman" w:cs="Times New Roman"/>
          <w:color w:val="auto"/>
          <w:spacing w:val="0"/>
        </w:rPr>
        <w:lastRenderedPageBreak/>
        <w:t xml:space="preserve">рынке сельскохозяйственных культур, таких как соя, кукуруза, на долю которых приходится более 95 %.  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В отрасли животноводства сохраняется темп роста продукции за счет увеличения поголовья и продуктивности крупного рогатого скота.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Индекс производства продукции в 2023 году составит 101,4%.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В перспективе на развитие сельскохозяйственной отрасли будут влиять следующие факторы: 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MS Mincho" w:eastAsia="MS Mincho" w:hAnsi="MS Mincho" w:cs="MS Mincho" w:hint="eastAsia"/>
          <w:color w:val="auto"/>
          <w:spacing w:val="0"/>
        </w:rPr>
        <w:t>⁃</w:t>
      </w:r>
      <w:r w:rsidRPr="007F5FC9">
        <w:rPr>
          <w:rFonts w:ascii="Times New Roman" w:hAnsi="Times New Roman" w:cs="Times New Roman"/>
          <w:color w:val="auto"/>
          <w:spacing w:val="0"/>
        </w:rPr>
        <w:tab/>
        <w:t>проведение мелиоративных мероприятий на уже используемой пашне, что в свою очередь увеличит урожайность сельскохозяйственных культур, а также минимизирует риски от неблагоприятных погодных условий;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MS Mincho" w:eastAsia="MS Mincho" w:hAnsi="MS Mincho" w:cs="MS Mincho" w:hint="eastAsia"/>
          <w:color w:val="auto"/>
          <w:spacing w:val="0"/>
        </w:rPr>
        <w:t>⁃</w:t>
      </w:r>
      <w:r w:rsidRPr="007F5FC9">
        <w:rPr>
          <w:rFonts w:ascii="Times New Roman" w:hAnsi="Times New Roman" w:cs="Times New Roman"/>
          <w:color w:val="auto"/>
          <w:spacing w:val="0"/>
        </w:rPr>
        <w:tab/>
        <w:t>применение сортов семян сельскохозяйственных культур повышенной урожайности и устойчивых к неблагоприятным условиям, болезням и вредителям;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MS Mincho" w:eastAsia="MS Mincho" w:hAnsi="MS Mincho" w:cs="MS Mincho" w:hint="eastAsia"/>
          <w:color w:val="auto"/>
          <w:spacing w:val="0"/>
        </w:rPr>
        <w:t>⁃</w:t>
      </w:r>
      <w:r w:rsidRPr="007F5FC9">
        <w:rPr>
          <w:rFonts w:ascii="Times New Roman" w:hAnsi="Times New Roman" w:cs="Times New Roman"/>
          <w:color w:val="auto"/>
          <w:spacing w:val="0"/>
        </w:rPr>
        <w:tab/>
        <w:t xml:space="preserve">введение новых проектов субсидирования, связанных со стимулированием </w:t>
      </w:r>
      <w:proofErr w:type="spellStart"/>
      <w:r w:rsidRPr="007F5FC9">
        <w:rPr>
          <w:rFonts w:ascii="Times New Roman" w:hAnsi="Times New Roman" w:cs="Times New Roman"/>
          <w:color w:val="auto"/>
          <w:spacing w:val="0"/>
        </w:rPr>
        <w:t>подотраслей</w:t>
      </w:r>
      <w:proofErr w:type="spellEnd"/>
      <w:r w:rsidRPr="007F5FC9">
        <w:rPr>
          <w:rFonts w:ascii="Times New Roman" w:hAnsi="Times New Roman" w:cs="Times New Roman"/>
          <w:color w:val="auto"/>
          <w:spacing w:val="0"/>
        </w:rPr>
        <w:t xml:space="preserve"> агропромышленного комплекса.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F5FC9">
        <w:rPr>
          <w:rFonts w:ascii="Times New Roman" w:hAnsi="Times New Roman" w:cs="Times New Roman"/>
          <w:b/>
          <w:color w:val="auto"/>
          <w:spacing w:val="0"/>
        </w:rPr>
        <w:t>Строительство и инвестиции</w:t>
      </w:r>
    </w:p>
    <w:p w:rsidR="007F5FC9" w:rsidRPr="007F5FC9" w:rsidRDefault="007F5FC9" w:rsidP="007F5FC9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</w:rPr>
      </w:pPr>
      <w:r w:rsidRPr="007F5FC9">
        <w:rPr>
          <w:rFonts w:ascii="Times New Roman" w:eastAsia="Calibri" w:hAnsi="Times New Roman" w:cs="Times New Roman"/>
          <w:color w:val="auto"/>
          <w:spacing w:val="0"/>
        </w:rPr>
        <w:t>За отчетный период 2022 года выдано 7 разрешений на строительство объектов капитального строительства, подготовлено 12 градостроительных планов.</w:t>
      </w:r>
    </w:p>
    <w:p w:rsidR="007F5FC9" w:rsidRPr="007F5FC9" w:rsidRDefault="007F5FC9" w:rsidP="007F5FC9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</w:rPr>
      </w:pPr>
      <w:r w:rsidRPr="007F5FC9">
        <w:rPr>
          <w:rFonts w:ascii="Times New Roman" w:eastAsia="Calibri" w:hAnsi="Times New Roman" w:cs="Times New Roman"/>
          <w:color w:val="auto"/>
          <w:spacing w:val="0"/>
        </w:rPr>
        <w:t>Индивидуальным застройщикам направлено 27 уведомления о планируемом строительстве или реконструкции объекта индивидуального строительства, введено в эксплуатацию 18 домов общей площадью 2 422 м</w:t>
      </w:r>
      <w:proofErr w:type="gramStart"/>
      <w:r w:rsidRPr="007F5FC9">
        <w:rPr>
          <w:rFonts w:ascii="Times New Roman" w:eastAsia="Calibri" w:hAnsi="Times New Roman" w:cs="Times New Roman"/>
          <w:color w:val="auto"/>
          <w:spacing w:val="0"/>
          <w:vertAlign w:val="superscript"/>
        </w:rPr>
        <w:t>2</w:t>
      </w:r>
      <w:proofErr w:type="gramEnd"/>
      <w:r w:rsidRPr="007F5FC9">
        <w:rPr>
          <w:rFonts w:ascii="Times New Roman" w:eastAsia="Calibri" w:hAnsi="Times New Roman" w:cs="Times New Roman"/>
          <w:color w:val="auto"/>
          <w:spacing w:val="0"/>
        </w:rPr>
        <w:t>.</w:t>
      </w:r>
    </w:p>
    <w:p w:rsidR="007F5FC9" w:rsidRPr="007F5FC9" w:rsidRDefault="007F5FC9" w:rsidP="007F5FC9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</w:rPr>
      </w:pPr>
      <w:r w:rsidRPr="007F5FC9">
        <w:rPr>
          <w:rFonts w:ascii="Times New Roman" w:eastAsia="Calibri" w:hAnsi="Times New Roman" w:cs="Times New Roman"/>
          <w:color w:val="auto"/>
          <w:spacing w:val="0"/>
        </w:rPr>
        <w:t xml:space="preserve">В </w:t>
      </w:r>
      <w:r w:rsidRPr="007F5FC9">
        <w:rPr>
          <w:rFonts w:ascii="Times New Roman" w:eastAsia="Calibri" w:hAnsi="Times New Roman" w:cs="Times New Roman"/>
          <w:color w:val="auto"/>
          <w:spacing w:val="0"/>
          <w:lang w:val="en-US"/>
        </w:rPr>
        <w:t>II</w:t>
      </w:r>
      <w:r w:rsidRPr="007F5FC9">
        <w:rPr>
          <w:rFonts w:ascii="Times New Roman" w:eastAsia="Calibri" w:hAnsi="Times New Roman" w:cs="Times New Roman"/>
          <w:color w:val="auto"/>
          <w:spacing w:val="0"/>
        </w:rPr>
        <w:t xml:space="preserve"> квартале 2023 году завершено строительство двух многоквартирных домов общей площадью 3578 </w:t>
      </w:r>
      <w:proofErr w:type="spellStart"/>
      <w:r w:rsidRPr="007F5FC9">
        <w:rPr>
          <w:rFonts w:ascii="Times New Roman" w:eastAsia="Calibri" w:hAnsi="Times New Roman" w:cs="Times New Roman"/>
          <w:color w:val="auto"/>
          <w:spacing w:val="0"/>
        </w:rPr>
        <w:t>кв.м</w:t>
      </w:r>
      <w:proofErr w:type="spellEnd"/>
      <w:r w:rsidRPr="007F5FC9">
        <w:rPr>
          <w:rFonts w:ascii="Times New Roman" w:eastAsia="Calibri" w:hAnsi="Times New Roman" w:cs="Times New Roman"/>
          <w:color w:val="auto"/>
          <w:spacing w:val="0"/>
        </w:rPr>
        <w:t xml:space="preserve">. в составе группы многоквартирных малоэтажных жилых домов (в группе 2 идентичных жилых трехэтажных здания, всего 40 квартир). </w:t>
      </w:r>
    </w:p>
    <w:p w:rsidR="007F5FC9" w:rsidRPr="007F5FC9" w:rsidRDefault="007F5FC9" w:rsidP="007F5FC9">
      <w:pPr>
        <w:ind w:firstLine="709"/>
        <w:jc w:val="both"/>
        <w:rPr>
          <w:rFonts w:ascii="Times New Roman" w:eastAsia="Calibri" w:hAnsi="Times New Roman" w:cs="Times New Roman"/>
          <w:color w:val="auto"/>
          <w:spacing w:val="0"/>
        </w:rPr>
      </w:pPr>
      <w:r w:rsidRPr="007F5FC9">
        <w:rPr>
          <w:rFonts w:ascii="Times New Roman" w:eastAsia="Calibri" w:hAnsi="Times New Roman" w:cs="Times New Roman"/>
          <w:color w:val="auto"/>
          <w:spacing w:val="0"/>
        </w:rPr>
        <w:t>В 2024 году ожидаемое снижение показателя по «вводу в действие жилых домов», ввиду отсутствия заявлений от застройщиков на градостроительный план земельных участок под строительство и отсутствия действующих разрешений на строительство.</w:t>
      </w:r>
    </w:p>
    <w:p w:rsidR="007F5FC9" w:rsidRPr="007F5FC9" w:rsidRDefault="007F5FC9" w:rsidP="007F5FC9">
      <w:pPr>
        <w:jc w:val="both"/>
        <w:rPr>
          <w:rFonts w:ascii="Times New Roman" w:hAnsi="Times New Roman" w:cs="Times New Roman"/>
          <w:spacing w:val="0"/>
        </w:rPr>
      </w:pPr>
    </w:p>
    <w:p w:rsidR="007F5FC9" w:rsidRPr="007F5FC9" w:rsidRDefault="007F5FC9" w:rsidP="007F5FC9">
      <w:pPr>
        <w:suppressAutoHyphens/>
        <w:ind w:firstLine="709"/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F5FC9">
        <w:rPr>
          <w:rFonts w:ascii="Times New Roman" w:hAnsi="Times New Roman" w:cs="Times New Roman"/>
          <w:b/>
          <w:color w:val="auto"/>
          <w:spacing w:val="0"/>
        </w:rPr>
        <w:t>Малое предпринимательство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Доминирующее положение в предпринимательстве занимает торговля,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бесперебойное снабжение населения продовольствием, товарами и услугами первой необходимости в 2022 году на территории округа: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- 112 предприятий розничной торговли, из них 60 объектов или 54 % - </w:t>
      </w: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>магазины</w:t>
      </w:r>
      <w:proofErr w:type="gramEnd"/>
      <w:r w:rsidRPr="007F5FC9">
        <w:rPr>
          <w:rFonts w:ascii="Times New Roman" w:hAnsi="Times New Roman" w:cs="Times New Roman"/>
          <w:color w:val="auto"/>
          <w:spacing w:val="0"/>
        </w:rPr>
        <w:t xml:space="preserve"> со смешанным ассортиментом располагающиеся в радиусе пешеходной доступности;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lastRenderedPageBreak/>
        <w:t xml:space="preserve">- 15 </w:t>
      </w: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>объектах</w:t>
      </w:r>
      <w:proofErr w:type="gramEnd"/>
      <w:r w:rsidRPr="007F5FC9">
        <w:rPr>
          <w:rFonts w:ascii="Times New Roman" w:hAnsi="Times New Roman" w:cs="Times New Roman"/>
          <w:color w:val="auto"/>
          <w:spacing w:val="0"/>
        </w:rPr>
        <w:t xml:space="preserve"> общественного питания на 686 посадочных мест. Это рестораны, кафе, бары, закусочные, пиццерия, предприятия быстрого питания среднего ценового порядка. Расширился ассортимент предоставляемых в предприятиях питания услуг - это и бизнес-ланчи, развлечение детей, упаковка блюд на вынос.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Для удовлетворения потребительского спроса, расширения возможности сбыта продукции  продовольственных и непродовольственных товаров, с целью привлечения индивидуальных предпринимателей, крестьянско-фермерских и личных подсобных хозяйств в 2022 году, организовано 9 ярмарочных площадок (из них 4 сезонных), проведены: осенняя ярмарка «Дары </w:t>
      </w:r>
      <w:proofErr w:type="spellStart"/>
      <w:r w:rsidRPr="007F5FC9">
        <w:rPr>
          <w:rFonts w:ascii="Times New Roman" w:hAnsi="Times New Roman" w:cs="Times New Roman"/>
          <w:color w:val="auto"/>
          <w:spacing w:val="0"/>
        </w:rPr>
        <w:t>Приханковья</w:t>
      </w:r>
      <w:proofErr w:type="spellEnd"/>
      <w:r w:rsidRPr="007F5FC9">
        <w:rPr>
          <w:rFonts w:ascii="Times New Roman" w:hAnsi="Times New Roman" w:cs="Times New Roman"/>
          <w:color w:val="auto"/>
          <w:spacing w:val="0"/>
        </w:rPr>
        <w:t xml:space="preserve">»; </w:t>
      </w: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>107 ярмарок «Выходного дня» по реализации картофеля, овощей, фруктов, зелени, ягод, грибов, меда, рыбы и рыботоваров, яйца, молока и молочной продукции, мясных полуфабрикатов, кулинарных и кондитерских изделий, саженцев, рассады, непродовольственных товаров.</w:t>
      </w:r>
      <w:proofErr w:type="gramEnd"/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Для положительного развития малого предпринимательства в 2023 году планируется: увеличить ярмарочные площадки, информировать предпринимателей о мерах поддержки, оказывать имущественную и финансовую поддержку в рамках реализации Муниципальной программы «Развитие малого и среднего предпринимательства в Ханкайском муниципальном округе» на 2020-2025 годы.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Количество малых предприятий в 2023 году составит 73 малых предприятия. 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В целях обеспечения взаимодействия органов местного самоуправления, субъектов малого и среднего предпринимательства и организаций в округе функционирует Совет по улучшению инвестиционного климата и развитию предпринимательства при Администрации Ханкайского муниципального округа. В 2022 году проведено 12 заседаний Совета.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сообщества.</w:t>
      </w:r>
    </w:p>
    <w:p w:rsidR="007F5FC9" w:rsidRPr="007F5FC9" w:rsidRDefault="007F5FC9" w:rsidP="007F5FC9">
      <w:pPr>
        <w:suppressAutoHyphens/>
        <w:jc w:val="both"/>
        <w:rPr>
          <w:rFonts w:ascii="Times New Roman" w:hAnsi="Times New Roman" w:cs="Times New Roman"/>
          <w:color w:val="auto"/>
          <w:spacing w:val="0"/>
        </w:rPr>
      </w:pPr>
    </w:p>
    <w:p w:rsidR="007F5FC9" w:rsidRPr="007F5FC9" w:rsidRDefault="007F5FC9" w:rsidP="007F5FC9">
      <w:pPr>
        <w:suppressAutoHyphens/>
        <w:ind w:firstLine="709"/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F5FC9">
        <w:rPr>
          <w:rFonts w:ascii="Times New Roman" w:hAnsi="Times New Roman" w:cs="Times New Roman"/>
          <w:b/>
          <w:iCs/>
          <w:color w:val="auto"/>
          <w:spacing w:val="0"/>
        </w:rPr>
        <w:t>Бюджет Ханкайского муниципального округа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 Бюджет Ханкайского муниципального округа являетс</w:t>
      </w:r>
      <w:r w:rsidR="00457EF3">
        <w:rPr>
          <w:rFonts w:ascii="Times New Roman" w:hAnsi="Times New Roman" w:cs="Times New Roman"/>
          <w:color w:val="auto"/>
          <w:spacing w:val="0"/>
        </w:rPr>
        <w:t>я дотационным. Доходы муниципального</w:t>
      </w:r>
      <w:r w:rsidRPr="007F5FC9">
        <w:rPr>
          <w:rFonts w:ascii="Times New Roman" w:hAnsi="Times New Roman" w:cs="Times New Roman"/>
          <w:color w:val="auto"/>
          <w:spacing w:val="0"/>
        </w:rPr>
        <w:t xml:space="preserve"> округа  за 2022 год,   составили  1023,38 </w:t>
      </w:r>
      <w:proofErr w:type="spellStart"/>
      <w:r w:rsidRPr="007F5FC9">
        <w:rPr>
          <w:rFonts w:ascii="Times New Roman" w:hAnsi="Times New Roman" w:cs="Times New Roman"/>
          <w:color w:val="auto"/>
          <w:spacing w:val="0"/>
        </w:rPr>
        <w:t>млн</w:t>
      </w: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>.р</w:t>
      </w:r>
      <w:proofErr w:type="gramEnd"/>
      <w:r w:rsidRPr="007F5FC9">
        <w:rPr>
          <w:rFonts w:ascii="Times New Roman" w:hAnsi="Times New Roman" w:cs="Times New Roman"/>
          <w:color w:val="auto"/>
          <w:spacing w:val="0"/>
        </w:rPr>
        <w:t>уб</w:t>
      </w:r>
      <w:proofErr w:type="spellEnd"/>
      <w:r w:rsidRPr="007F5FC9">
        <w:rPr>
          <w:rFonts w:ascii="Times New Roman" w:hAnsi="Times New Roman" w:cs="Times New Roman"/>
          <w:color w:val="auto"/>
          <w:spacing w:val="0"/>
        </w:rPr>
        <w:t xml:space="preserve">.  (107,0% к  2021 году), большая  часть из которых  принадлежит безвозмездным перечислениям из бюджетов всех уровней (дотация МО, субсидии, субвенции): </w:t>
      </w:r>
    </w:p>
    <w:p w:rsidR="007F5FC9" w:rsidRPr="007F5FC9" w:rsidRDefault="00457EF3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- налоговые и неналоговые доходы</w:t>
      </w:r>
      <w:r w:rsidR="007F5FC9" w:rsidRPr="007F5FC9">
        <w:rPr>
          <w:rFonts w:ascii="Times New Roman" w:hAnsi="Times New Roman" w:cs="Times New Roman"/>
          <w:color w:val="auto"/>
          <w:spacing w:val="0"/>
        </w:rPr>
        <w:t xml:space="preserve"> – 418,21 </w:t>
      </w:r>
      <w:proofErr w:type="spellStart"/>
      <w:r w:rsidR="007F5FC9" w:rsidRPr="007F5FC9">
        <w:rPr>
          <w:rFonts w:ascii="Times New Roman" w:hAnsi="Times New Roman" w:cs="Times New Roman"/>
          <w:color w:val="auto"/>
          <w:spacing w:val="0"/>
        </w:rPr>
        <w:t>млн</w:t>
      </w:r>
      <w:proofErr w:type="gramStart"/>
      <w:r w:rsidR="007F5FC9" w:rsidRPr="007F5FC9">
        <w:rPr>
          <w:rFonts w:ascii="Times New Roman" w:hAnsi="Times New Roman" w:cs="Times New Roman"/>
          <w:color w:val="auto"/>
          <w:spacing w:val="0"/>
        </w:rPr>
        <w:t>.р</w:t>
      </w:r>
      <w:proofErr w:type="gramEnd"/>
      <w:r w:rsidR="007F5FC9" w:rsidRPr="007F5FC9">
        <w:rPr>
          <w:rFonts w:ascii="Times New Roman" w:hAnsi="Times New Roman" w:cs="Times New Roman"/>
          <w:color w:val="auto"/>
          <w:spacing w:val="0"/>
        </w:rPr>
        <w:t>уб</w:t>
      </w:r>
      <w:proofErr w:type="spellEnd"/>
      <w:r w:rsidR="007F5FC9" w:rsidRPr="007F5FC9">
        <w:rPr>
          <w:rFonts w:ascii="Times New Roman" w:hAnsi="Times New Roman" w:cs="Times New Roman"/>
          <w:color w:val="auto"/>
          <w:spacing w:val="0"/>
        </w:rPr>
        <w:t>. (41,0%);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- дотация МО  – 82,69 </w:t>
      </w:r>
      <w:proofErr w:type="spellStart"/>
      <w:r w:rsidRPr="007F5FC9">
        <w:rPr>
          <w:rFonts w:ascii="Times New Roman" w:hAnsi="Times New Roman" w:cs="Times New Roman"/>
          <w:color w:val="auto"/>
          <w:spacing w:val="0"/>
        </w:rPr>
        <w:t>млн</w:t>
      </w: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>.р</w:t>
      </w:r>
      <w:proofErr w:type="gramEnd"/>
      <w:r w:rsidRPr="007F5FC9">
        <w:rPr>
          <w:rFonts w:ascii="Times New Roman" w:hAnsi="Times New Roman" w:cs="Times New Roman"/>
          <w:color w:val="auto"/>
          <w:spacing w:val="0"/>
        </w:rPr>
        <w:t>уб</w:t>
      </w:r>
      <w:proofErr w:type="spellEnd"/>
      <w:r w:rsidRPr="007F5FC9">
        <w:rPr>
          <w:rFonts w:ascii="Times New Roman" w:hAnsi="Times New Roman" w:cs="Times New Roman"/>
          <w:color w:val="auto"/>
          <w:spacing w:val="0"/>
        </w:rPr>
        <w:t>. (126,4%);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- субвенции и субсидии – 502,29 </w:t>
      </w:r>
      <w:proofErr w:type="spellStart"/>
      <w:r w:rsidRPr="007F5FC9">
        <w:rPr>
          <w:rFonts w:ascii="Times New Roman" w:hAnsi="Times New Roman" w:cs="Times New Roman"/>
          <w:color w:val="auto"/>
          <w:spacing w:val="0"/>
        </w:rPr>
        <w:t>млн</w:t>
      </w: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>.р</w:t>
      </w:r>
      <w:proofErr w:type="gramEnd"/>
      <w:r w:rsidRPr="007F5FC9">
        <w:rPr>
          <w:rFonts w:ascii="Times New Roman" w:hAnsi="Times New Roman" w:cs="Times New Roman"/>
          <w:color w:val="auto"/>
          <w:spacing w:val="0"/>
        </w:rPr>
        <w:t>уб</w:t>
      </w:r>
      <w:proofErr w:type="spellEnd"/>
      <w:r w:rsidRPr="007F5FC9">
        <w:rPr>
          <w:rFonts w:ascii="Times New Roman" w:hAnsi="Times New Roman" w:cs="Times New Roman"/>
          <w:color w:val="auto"/>
          <w:spacing w:val="0"/>
        </w:rPr>
        <w:t xml:space="preserve">. (93,0%). 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По оценке 2023 года доходы бюджета муниципального округа  составят 1099,19 млн. руб. (107,4% к 2022 г.). По прогнозу 2024-2026 </w:t>
      </w:r>
      <w:proofErr w:type="spellStart"/>
      <w:r w:rsidRPr="007F5FC9">
        <w:rPr>
          <w:rFonts w:ascii="Times New Roman" w:hAnsi="Times New Roman" w:cs="Times New Roman"/>
          <w:color w:val="auto"/>
          <w:spacing w:val="0"/>
        </w:rPr>
        <w:lastRenderedPageBreak/>
        <w:t>г.г</w:t>
      </w:r>
      <w:proofErr w:type="spellEnd"/>
      <w:r w:rsidRPr="007F5FC9">
        <w:rPr>
          <w:rFonts w:ascii="Times New Roman" w:hAnsi="Times New Roman" w:cs="Times New Roman"/>
          <w:color w:val="auto"/>
          <w:spacing w:val="0"/>
        </w:rPr>
        <w:t>. доходы уменьшатся и составят 887,25 млн. руб. (87,0% к 2022 году), в том числе:</w:t>
      </w:r>
    </w:p>
    <w:p w:rsidR="007F5FC9" w:rsidRPr="007F5FC9" w:rsidRDefault="00457EF3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- налоговые и неналоговые доходы</w:t>
      </w:r>
      <w:r w:rsidR="007F5FC9" w:rsidRPr="007F5FC9">
        <w:rPr>
          <w:rFonts w:ascii="Times New Roman" w:hAnsi="Times New Roman" w:cs="Times New Roman"/>
          <w:color w:val="auto"/>
          <w:spacing w:val="0"/>
        </w:rPr>
        <w:t xml:space="preserve"> – 174,21 млн. руб. (13,5%);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- дотация МО  – 310,67 млн. руб. (378,0%);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- субвенции и субсидии – 575,93 млн. руб. (115,0%). </w:t>
      </w:r>
    </w:p>
    <w:p w:rsidR="007F5FC9" w:rsidRPr="007F5FC9" w:rsidRDefault="00457EF3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Расходы бюджета муниципального </w:t>
      </w:r>
      <w:r w:rsidR="007F5FC9" w:rsidRPr="007F5FC9">
        <w:rPr>
          <w:rFonts w:ascii="Times New Roman" w:hAnsi="Times New Roman" w:cs="Times New Roman"/>
          <w:color w:val="auto"/>
          <w:spacing w:val="0"/>
        </w:rPr>
        <w:t>округа за 2022 год составили – 1022,38 млн. руб. (103,4% к 2021 году),  профицит бюджета составил 1,00 млн. руб. По прогнозу 2024-2026 гг. расходы уменьшатся и  составят 869,71 млн. руб. (85,1% к 2022 году).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В структуре расходов наибольшая доля приходится на финансовое обеспечение предоставления населению муниципального образования муниципальных услуг в сфере образования, социальной политики и жилищно-коммунального хозяйства, физической культуры и спорта. Приоритетом бюджетных расходов муниципалитета является своевременная выплата заработной платы работникам бюджетной сферы. </w:t>
      </w:r>
    </w:p>
    <w:p w:rsidR="007F5FC9" w:rsidRPr="007F5FC9" w:rsidRDefault="007F5FC9" w:rsidP="007F5FC9">
      <w:pPr>
        <w:suppressAutoHyphens/>
        <w:ind w:firstLine="709"/>
        <w:jc w:val="both"/>
        <w:rPr>
          <w:rFonts w:ascii="Times New Roman" w:hAnsi="Times New Roman" w:cs="Times New Roman"/>
          <w:b/>
          <w:spacing w:val="0"/>
        </w:rPr>
      </w:pPr>
      <w:r w:rsidRPr="007F5FC9">
        <w:rPr>
          <w:rFonts w:ascii="Times New Roman" w:hAnsi="Times New Roman" w:cs="Times New Roman"/>
          <w:spacing w:val="0"/>
        </w:rPr>
        <w:t xml:space="preserve">   </w:t>
      </w:r>
    </w:p>
    <w:p w:rsidR="007F5FC9" w:rsidRPr="007F5FC9" w:rsidRDefault="007F5FC9" w:rsidP="007F5FC9">
      <w:pPr>
        <w:jc w:val="center"/>
        <w:rPr>
          <w:rFonts w:ascii="Times New Roman" w:hAnsi="Times New Roman" w:cs="Times New Roman"/>
          <w:b/>
          <w:spacing w:val="0"/>
        </w:rPr>
      </w:pPr>
      <w:r w:rsidRPr="007F5FC9">
        <w:rPr>
          <w:rFonts w:ascii="Times New Roman" w:hAnsi="Times New Roman" w:cs="Times New Roman"/>
          <w:b/>
          <w:spacing w:val="0"/>
        </w:rPr>
        <w:t>Труд и занятость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7F5FC9">
        <w:rPr>
          <w:rFonts w:ascii="Times New Roman" w:hAnsi="Times New Roman" w:cs="Times New Roman"/>
          <w:spacing w:val="0"/>
        </w:rPr>
        <w:t xml:space="preserve">Численность безработных, официально зарегистрированных в службе занятости населения округа </w:t>
      </w:r>
      <w:proofErr w:type="gramStart"/>
      <w:r w:rsidRPr="007F5FC9">
        <w:rPr>
          <w:rFonts w:ascii="Times New Roman" w:hAnsi="Times New Roman" w:cs="Times New Roman"/>
          <w:spacing w:val="0"/>
        </w:rPr>
        <w:t>на конец</w:t>
      </w:r>
      <w:proofErr w:type="gramEnd"/>
      <w:r w:rsidRPr="007F5FC9">
        <w:rPr>
          <w:rFonts w:ascii="Times New Roman" w:hAnsi="Times New Roman" w:cs="Times New Roman"/>
          <w:spacing w:val="0"/>
        </w:rPr>
        <w:t xml:space="preserve"> 2022 года составила 0,28 тыс. чел., по оценке 2023 года численность безработных составит 0,30 тыс. чел.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7F5FC9">
        <w:rPr>
          <w:rFonts w:ascii="Times New Roman" w:hAnsi="Times New Roman" w:cs="Times New Roman"/>
          <w:spacing w:val="0"/>
        </w:rPr>
        <w:t xml:space="preserve">В рамках содействия занятости населения Ханкайского округа  за 2022 год трудоустроено 496 чел. 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 xml:space="preserve">В органы службы занятости на 01.01.2023 работодателями заявлено 67 вакансий (на 01.01.2022 - 57 вакансий). </w:t>
      </w:r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proofErr w:type="gramStart"/>
      <w:r w:rsidRPr="007F5FC9">
        <w:rPr>
          <w:rFonts w:ascii="Times New Roman" w:hAnsi="Times New Roman" w:cs="Times New Roman"/>
          <w:color w:val="auto"/>
          <w:spacing w:val="0"/>
        </w:rPr>
        <w:t xml:space="preserve">Наибольшая потребность в работниках заявлена в следующих сферах деятельности: сельское хозяйство - 16 вакансий; жилищно-коммунальное хозяйство – 12 вакансий; торговля  – 12 вакансий;  здравоохранение - 9 вакансий; образование – 8 вакансий; почтовая связь – 5 вакансий; наука – 3 вакансии; государственное управление (полиция и судебные приставы) - 3 вакансии; финансы – 1 вакансия. </w:t>
      </w:r>
      <w:proofErr w:type="gramEnd"/>
    </w:p>
    <w:p w:rsidR="007F5FC9" w:rsidRPr="007F5FC9" w:rsidRDefault="007F5FC9" w:rsidP="007F5F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7F5FC9">
        <w:rPr>
          <w:rFonts w:ascii="Times New Roman" w:hAnsi="Times New Roman" w:cs="Times New Roman"/>
          <w:color w:val="auto"/>
          <w:spacing w:val="0"/>
        </w:rPr>
        <w:t>Доля вакансий по рабочим профессиям (специальностям) составляет 56,7% от общего количества заявленных вакансий.</w:t>
      </w:r>
    </w:p>
    <w:p w:rsidR="007F5FC9" w:rsidRPr="007F5FC9" w:rsidRDefault="007F5FC9" w:rsidP="007F5FC9">
      <w:pPr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814429" w:rsidRPr="000F3A3F" w:rsidRDefault="00814429" w:rsidP="0081442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</w:p>
    <w:p w:rsidR="00325615" w:rsidRDefault="00325615"/>
    <w:sectPr w:rsidR="0032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29"/>
    <w:rsid w:val="002724CF"/>
    <w:rsid w:val="00325615"/>
    <w:rsid w:val="00420EB7"/>
    <w:rsid w:val="00457EF3"/>
    <w:rsid w:val="007F5FC9"/>
    <w:rsid w:val="00814429"/>
    <w:rsid w:val="009B1691"/>
    <w:rsid w:val="00BC0A59"/>
    <w:rsid w:val="00C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</w:pPr>
    <w:rPr>
      <w:rFonts w:ascii="Arial" w:eastAsia="Times New Roman" w:hAnsi="Arial" w:cs="Arial"/>
      <w:color w:val="000000"/>
      <w:spacing w:val="-4"/>
      <w:szCs w:val="28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00A2FF" w:themeColor="accent1"/>
      <w:spacing w:val="0"/>
      <w:sz w:val="26"/>
      <w:szCs w:val="26"/>
      <w:bdr w:val="nil"/>
      <w:lang w:val="en-US" w:eastAsia="en-US"/>
    </w:rPr>
  </w:style>
  <w:style w:type="paragraph" w:styleId="3">
    <w:name w:val="heading 3"/>
    <w:basedOn w:val="a"/>
    <w:next w:val="a"/>
    <w:link w:val="30"/>
    <w:qFormat/>
    <w:rsid w:val="00814429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814429"/>
    <w:rPr>
      <w:rFonts w:eastAsia="Times New Roman"/>
      <w:b/>
      <w:sz w:val="32"/>
      <w:bdr w:val="none" w:sz="0" w:space="0" w:color="auto"/>
      <w:lang w:eastAsia="ru-RU"/>
    </w:rPr>
  </w:style>
  <w:style w:type="paragraph" w:styleId="a4">
    <w:name w:val="caption"/>
    <w:basedOn w:val="a"/>
    <w:next w:val="a"/>
    <w:qFormat/>
    <w:rsid w:val="00814429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14429"/>
    <w:pPr>
      <w:spacing w:after="120"/>
    </w:pPr>
  </w:style>
  <w:style w:type="character" w:customStyle="1" w:styleId="a6">
    <w:name w:val="Основной текст Знак"/>
    <w:basedOn w:val="a0"/>
    <w:link w:val="a5"/>
    <w:rsid w:val="00814429"/>
    <w:rPr>
      <w:rFonts w:ascii="Arial" w:eastAsia="Times New Roman" w:hAnsi="Arial" w:cs="Arial"/>
      <w:color w:val="000000"/>
      <w:spacing w:val="-4"/>
      <w:szCs w:val="28"/>
      <w:bdr w:val="none" w:sz="0" w:space="0" w:color="auto"/>
      <w:lang w:eastAsia="ru-RU"/>
    </w:rPr>
  </w:style>
  <w:style w:type="paragraph" w:styleId="a7">
    <w:name w:val="Normal (Web)"/>
    <w:aliases w:val="Обычный (Web)1"/>
    <w:basedOn w:val="a"/>
    <w:uiPriority w:val="99"/>
    <w:qFormat/>
    <w:rsid w:val="00814429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4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429"/>
    <w:rPr>
      <w:rFonts w:ascii="Tahoma" w:eastAsia="Times New Roman" w:hAnsi="Tahoma" w:cs="Tahoma"/>
      <w:color w:val="000000"/>
      <w:spacing w:val="-4"/>
      <w:sz w:val="16"/>
      <w:szCs w:val="16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0"/>
      <w:jc w:val="left"/>
    </w:pPr>
    <w:rPr>
      <w:rFonts w:ascii="Arial" w:eastAsia="Times New Roman" w:hAnsi="Arial" w:cs="Arial"/>
      <w:color w:val="000000"/>
      <w:spacing w:val="-4"/>
      <w:szCs w:val="28"/>
      <w:bdr w:val="none" w:sz="0" w:space="0" w:color="auto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350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00A2FF" w:themeColor="accent1"/>
      <w:spacing w:val="0"/>
      <w:sz w:val="26"/>
      <w:szCs w:val="26"/>
      <w:bdr w:val="nil"/>
      <w:lang w:val="en-US" w:eastAsia="en-US"/>
    </w:rPr>
  </w:style>
  <w:style w:type="paragraph" w:styleId="3">
    <w:name w:val="heading 3"/>
    <w:basedOn w:val="a"/>
    <w:next w:val="a"/>
    <w:link w:val="30"/>
    <w:qFormat/>
    <w:rsid w:val="00814429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503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paragraph" w:styleId="a3">
    <w:name w:val="No Spacing"/>
    <w:uiPriority w:val="1"/>
    <w:qFormat/>
    <w:rsid w:val="00C93503"/>
    <w:rPr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814429"/>
    <w:rPr>
      <w:rFonts w:eastAsia="Times New Roman"/>
      <w:b/>
      <w:sz w:val="32"/>
      <w:bdr w:val="none" w:sz="0" w:space="0" w:color="auto"/>
      <w:lang w:eastAsia="ru-RU"/>
    </w:rPr>
  </w:style>
  <w:style w:type="paragraph" w:styleId="a4">
    <w:name w:val="caption"/>
    <w:basedOn w:val="a"/>
    <w:next w:val="a"/>
    <w:qFormat/>
    <w:rsid w:val="00814429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14429"/>
    <w:pPr>
      <w:spacing w:after="120"/>
    </w:pPr>
  </w:style>
  <w:style w:type="character" w:customStyle="1" w:styleId="a6">
    <w:name w:val="Основной текст Знак"/>
    <w:basedOn w:val="a0"/>
    <w:link w:val="a5"/>
    <w:rsid w:val="00814429"/>
    <w:rPr>
      <w:rFonts w:ascii="Arial" w:eastAsia="Times New Roman" w:hAnsi="Arial" w:cs="Arial"/>
      <w:color w:val="000000"/>
      <w:spacing w:val="-4"/>
      <w:szCs w:val="28"/>
      <w:bdr w:val="none" w:sz="0" w:space="0" w:color="auto"/>
      <w:lang w:eastAsia="ru-RU"/>
    </w:rPr>
  </w:style>
  <w:style w:type="paragraph" w:styleId="a7">
    <w:name w:val="Normal (Web)"/>
    <w:aliases w:val="Обычный (Web)1"/>
    <w:basedOn w:val="a"/>
    <w:uiPriority w:val="99"/>
    <w:qFormat/>
    <w:rsid w:val="00814429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4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429"/>
    <w:rPr>
      <w:rFonts w:ascii="Tahoma" w:eastAsia="Times New Roman" w:hAnsi="Tahoma" w:cs="Tahoma"/>
      <w:color w:val="000000"/>
      <w:spacing w:val="-4"/>
      <w:sz w:val="16"/>
      <w:szCs w:val="16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Мороз Ксения Викторовна</cp:lastModifiedBy>
  <cp:revision>4</cp:revision>
  <cp:lastPrinted>2023-10-03T06:01:00Z</cp:lastPrinted>
  <dcterms:created xsi:type="dcterms:W3CDTF">2023-09-26T00:30:00Z</dcterms:created>
  <dcterms:modified xsi:type="dcterms:W3CDTF">2023-10-03T06:04:00Z</dcterms:modified>
</cp:coreProperties>
</file>