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3" w:rsidRPr="005F427A" w:rsidRDefault="00101983" w:rsidP="003D5DA5">
      <w:pPr>
        <w:spacing w:after="0" w:line="276" w:lineRule="auto"/>
        <w:ind w:firstLine="0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</w:t>
      </w:r>
      <w:bookmarkStart w:id="0" w:name="_GoBack"/>
      <w:bookmarkEnd w:id="0"/>
      <w:r w:rsidRPr="005F427A">
        <w:rPr>
          <w:b/>
        </w:rPr>
        <w:t>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</w:t>
      </w:r>
      <w:r w:rsidR="00101983">
        <w:lastRenderedPageBreak/>
        <w:t>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уведомление целесообразно на</w:t>
      </w:r>
      <w:r w:rsidR="00530F4F">
        <w:t>правлять в двух экземплярах, один</w:t>
      </w:r>
      <w:r>
        <w:t xml:space="preserve"> из которых </w:t>
      </w:r>
      <w:r>
        <w:lastRenderedPageBreak/>
        <w:t>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304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4AE5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D5DA5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4E115C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Крысанова Светлана Николаевна</cp:lastModifiedBy>
  <cp:revision>82</cp:revision>
  <dcterms:created xsi:type="dcterms:W3CDTF">2019-10-18T10:31:00Z</dcterms:created>
  <dcterms:modified xsi:type="dcterms:W3CDTF">2019-10-28T23:38:00Z</dcterms:modified>
</cp:coreProperties>
</file>