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A5" w:rsidRDefault="0035209C" w:rsidP="00CF4BE1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 wp14:anchorId="70635B43" wp14:editId="2EB10D55">
            <wp:extent cx="10344150" cy="72294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382EA5" w:rsidSect="0035209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5C"/>
    <w:rsid w:val="0010705C"/>
    <w:rsid w:val="00133313"/>
    <w:rsid w:val="00180D11"/>
    <w:rsid w:val="0035209C"/>
    <w:rsid w:val="00382EA5"/>
    <w:rsid w:val="00C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Структура исполнения бюджета в разрезе муниципальных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программ на 01.12.2015 года, </a:t>
            </a:r>
            <a:r>
              <a:rPr lang="ru-RU" sz="1600" b="0" i="1" baseline="0">
                <a:latin typeface="Times New Roman" pitchFamily="18" charset="0"/>
                <a:cs typeface="Times New Roman" pitchFamily="18" charset="0"/>
              </a:rPr>
              <a:t>(тыс.руб.)</a:t>
            </a:r>
            <a:endParaRPr lang="ru-RU" sz="1600" b="0" i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41620626151013E-2"/>
          <c:y val="0.25055194187683061"/>
          <c:w val="0.63120382051691049"/>
          <c:h val="0.6472551602986386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сельских территорий Ханкайского муниципального района на 2014-2018 годы"</c:v>
                </c:pt>
                <c:pt idx="2">
                  <c:v>    Муниципальная программа "Развитие культуры Ханкайского муниципального района" на 2014-2018 годы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6">
                  <c:v>    Муниципальная программа "Охрана окружающей среды Ханкайского муниципального района" на 2014-2018 годы</c:v>
                </c:pt>
                <c:pt idx="7">
                  <c:v>    Муниципальная программа "Развитие физической культуры  и спорта  на 2014-2018 годы"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бюджета'!$B$8:$B$16</c:f>
            </c:numRef>
          </c:val>
        </c:ser>
        <c:ser>
          <c:idx val="1"/>
          <c:order val="1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сельских территорий Ханкайского муниципального района на 2014-2018 годы"</c:v>
                </c:pt>
                <c:pt idx="2">
                  <c:v>    Муниципальная программа "Развитие культуры Ханкайского муниципального района" на 2014-2018 годы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6">
                  <c:v>    Муниципальная программа "Охрана окружающей среды Ханкайского муниципального района" на 2014-2018 годы</c:v>
                </c:pt>
                <c:pt idx="7">
                  <c:v>    Муниципальная программа "Развитие физической культуры  и спорта  на 2014-2018 годы"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бюджета'!$C$8:$C$16</c:f>
            </c:numRef>
          </c:val>
        </c:ser>
        <c:ser>
          <c:idx val="2"/>
          <c:order val="2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сельских территорий Ханкайского муниципального района на 2014-2018 годы"</c:v>
                </c:pt>
                <c:pt idx="2">
                  <c:v>    Муниципальная программа "Развитие культуры Ханкайского муниципального района" на 2014-2018 годы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6">
                  <c:v>    Муниципальная программа "Охрана окружающей среды Ханкайского муниципального района" на 2014-2018 годы</c:v>
                </c:pt>
                <c:pt idx="7">
                  <c:v>    Муниципальная программа "Развитие физической культуры  и спорта  на 2014-2018 годы"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бюджета'!$D$8:$D$16</c:f>
            </c:numRef>
          </c:val>
        </c:ser>
        <c:ser>
          <c:idx val="3"/>
          <c:order val="3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сельских территорий Ханкайского муниципального района на 2014-2018 годы"</c:v>
                </c:pt>
                <c:pt idx="2">
                  <c:v>    Муниципальная программа "Развитие культуры Ханкайского муниципального района" на 2014-2018 годы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6">
                  <c:v>    Муниципальная программа "Охрана окружающей среды Ханкайского муниципального района" на 2014-2018 годы</c:v>
                </c:pt>
                <c:pt idx="7">
                  <c:v>    Муниципальная программа "Развитие физической культуры  и спорта  на 2014-2018 годы"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бюджета'!$E$8:$E$16</c:f>
            </c:numRef>
          </c:val>
        </c:ser>
        <c:ser>
          <c:idx val="4"/>
          <c:order val="4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сельских территорий Ханкайского муниципального района на 2014-2018 годы"</c:v>
                </c:pt>
                <c:pt idx="2">
                  <c:v>    Муниципальная программа "Развитие культуры Ханкайского муниципального района" на 2014-2018 годы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6">
                  <c:v>    Муниципальная программа "Охрана окружающей среды Ханкайского муниципального района" на 2014-2018 годы</c:v>
                </c:pt>
                <c:pt idx="7">
                  <c:v>    Муниципальная программа "Развитие физической культуры  и спорта  на 2014-2018 годы"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бюджета'!$F$8:$F$16</c:f>
            </c:numRef>
          </c:val>
        </c:ser>
        <c:ser>
          <c:idx val="5"/>
          <c:order val="5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сельских территорий Ханкайского муниципального района на 2014-2018 годы"</c:v>
                </c:pt>
                <c:pt idx="2">
                  <c:v>    Муниципальная программа "Развитие культуры Ханкайского муниципального района" на 2014-2018 годы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6">
                  <c:v>    Муниципальная программа "Охрана окружающей среды Ханкайского муниципального района" на 2014-2018 годы</c:v>
                </c:pt>
                <c:pt idx="7">
                  <c:v>    Муниципальная программа "Развитие физической культуры  и спорта  на 2014-2018 годы"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бюджета'!$G$8:$G$16</c:f>
            </c:numRef>
          </c:val>
        </c:ser>
        <c:ser>
          <c:idx val="6"/>
          <c:order val="6"/>
          <c:invertIfNegative val="0"/>
          <c:dPt>
            <c:idx val="0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</c:dPt>
          <c:dPt>
            <c:idx val="3"/>
            <c:invertIfNegative val="0"/>
            <c:bubble3D val="0"/>
            <c:spPr>
              <a:solidFill>
                <a:srgbClr val="9BBB59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</c:spPr>
          </c:dPt>
          <c:dLbls>
            <c:dLbl>
              <c:idx val="0"/>
              <c:layout>
                <c:manualLayout>
                  <c:x val="6.1387354205033773E-2"/>
                  <c:y val="2.10802305838252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293 686</a:t>
                    </a:r>
                    <a:r>
                      <a:rPr lang="ru-RU"/>
                      <a:t>,72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049723756906066E-2"/>
                  <c:y val="-1.40535792709705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17 440</a:t>
                    </a:r>
                    <a:r>
                      <a:rPr lang="ru-RU"/>
                      <a:t>,64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554941682013503E-3"/>
                  <c:y val="-2.81071585419411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15 968</a:t>
                    </a:r>
                    <a:r>
                      <a:rPr lang="ru-RU"/>
                      <a:t>,99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554941682013503E-3"/>
                  <c:y val="-1.7566974088713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15 084</a:t>
                    </a:r>
                    <a:r>
                      <a:rPr lang="ru-RU"/>
                      <a:t>,85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1387354205033762E-3"/>
                  <c:y val="-1.58102766798418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8 19</a:t>
                    </a:r>
                    <a:r>
                      <a:rPr lang="ru-RU"/>
                      <a:t>2,51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941329157059789E-3"/>
                  <c:y val="-2.10803689064558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1 335</a:t>
                    </a:r>
                    <a:r>
                      <a:rPr lang="ru-RU"/>
                      <a:t>,99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049723756906077E-2"/>
                  <c:y val="-2.28370663153271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1,39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505217925107428E-2"/>
                  <c:y val="-2.45937637241985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311</a:t>
                    </a:r>
                    <a:r>
                      <a:rPr lang="ru-RU"/>
                      <a:t>,82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5.27009222661396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37 317</a:t>
                    </a:r>
                    <a:r>
                      <a:rPr lang="ru-RU"/>
                      <a:t>,13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'без учета счетов бюджета'!$A$8:$A$16</c:f>
              <c:strCache>
                <c:ptCount val="9"/>
                <c:pt idx="0">
                  <c:v>    Муниципальная программа "Развитие образования в Ханкайском муниципальном районе" на 2014-2018 годы</c:v>
                </c:pt>
                <c:pt idx="1">
                  <c:v>    Муниципальная программа "Развитие сельских территорий Ханкайского муниципального района на 2014-2018 годы"</c:v>
                </c:pt>
                <c:pt idx="2">
                  <c:v>    Муниципальная программа "Развитие культуры Ханкайского муниципального района" на 2014-2018 годы</c:v>
                </c:pt>
                <c:pt idx="3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6">
                  <c:v>    Муниципальная программа "Охрана окружающей среды Ханкайского муниципального района" на 2014-2018 годы</c:v>
                </c:pt>
                <c:pt idx="7">
                  <c:v>    Муниципальная программа "Развитие физической культуры  и спорта  на 2014-2018 годы"</c:v>
                </c:pt>
                <c:pt idx="8">
                  <c:v>    НЕПРОГРАММНЫЕ РАСХОДЫ</c:v>
                </c:pt>
              </c:strCache>
            </c:strRef>
          </c:cat>
          <c:val>
            <c:numRef>
              <c:f>'без учета счетов бюджета'!$H$8:$H$16</c:f>
              <c:numCache>
                <c:formatCode>#,##0.00</c:formatCode>
                <c:ptCount val="9"/>
                <c:pt idx="0">
                  <c:v>293686717.45999998</c:v>
                </c:pt>
                <c:pt idx="1">
                  <c:v>17440640.399999999</c:v>
                </c:pt>
                <c:pt idx="2">
                  <c:v>15968994.07</c:v>
                </c:pt>
                <c:pt idx="3">
                  <c:v>15084845.449999999</c:v>
                </c:pt>
                <c:pt idx="4">
                  <c:v>8192508.0800000001</c:v>
                </c:pt>
                <c:pt idx="5">
                  <c:v>1335993.96</c:v>
                </c:pt>
                <c:pt idx="6">
                  <c:v>381393.12</c:v>
                </c:pt>
                <c:pt idx="7">
                  <c:v>311822.78999999998</c:v>
                </c:pt>
                <c:pt idx="8">
                  <c:v>37317129.649999999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3828992"/>
        <c:axId val="246441472"/>
        <c:axId val="0"/>
      </c:bar3DChart>
      <c:catAx>
        <c:axId val="243828992"/>
        <c:scaling>
          <c:orientation val="minMax"/>
        </c:scaling>
        <c:delete val="1"/>
        <c:axPos val="b"/>
        <c:majorTickMark val="out"/>
        <c:minorTickMark val="none"/>
        <c:tickLblPos val="nextTo"/>
        <c:crossAx val="246441472"/>
        <c:crosses val="autoZero"/>
        <c:auto val="1"/>
        <c:lblAlgn val="ctr"/>
        <c:lblOffset val="100"/>
        <c:noMultiLvlLbl val="0"/>
      </c:catAx>
      <c:valAx>
        <c:axId val="246441472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243828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69289888487692"/>
          <c:y val="8.3748681612426906E-2"/>
          <c:w val="0.3321408231792255"/>
          <c:h val="0.9057111339343453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95B7-5B42-4F84-A809-95D809EB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4</cp:revision>
  <dcterms:created xsi:type="dcterms:W3CDTF">2015-12-11T04:28:00Z</dcterms:created>
  <dcterms:modified xsi:type="dcterms:W3CDTF">2015-12-11T04:52:00Z</dcterms:modified>
</cp:coreProperties>
</file>