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D180" w14:textId="26C6AC74" w:rsidR="00647F0D" w:rsidRPr="006431AD" w:rsidRDefault="001F7267" w:rsidP="006431AD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Передовой опыт</w:t>
      </w:r>
      <w:r w:rsidR="00647F0D"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охране труда организаций</w:t>
      </w:r>
    </w:p>
    <w:p w14:paraId="587F231E" w14:textId="1CD47F7B" w:rsidR="00647F0D" w:rsidRPr="006431AD" w:rsidRDefault="00647F0D" w:rsidP="006431AD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</w:t>
      </w:r>
      <w:r w:rsidR="006431AD"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анкайского</w:t>
      </w:r>
      <w:r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муниципального округа за </w:t>
      </w:r>
      <w:r w:rsidR="00854FF1" w:rsidRPr="004167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  <w:r w:rsidR="00854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месяцев</w:t>
      </w:r>
      <w:r w:rsidR="006C63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</w:t>
      </w:r>
      <w:r w:rsidR="006C63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</w:t>
      </w:r>
      <w:r w:rsidR="00854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2689"/>
        <w:gridCol w:w="4326"/>
        <w:gridCol w:w="3526"/>
        <w:gridCol w:w="4196"/>
      </w:tblGrid>
      <w:tr w:rsidR="00BC57C5" w14:paraId="1B90783E" w14:textId="77777777" w:rsidTr="00A64AD4">
        <w:tc>
          <w:tcPr>
            <w:tcW w:w="2689" w:type="dxa"/>
          </w:tcPr>
          <w:p w14:paraId="1315421E" w14:textId="49D8A053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326" w:type="dxa"/>
          </w:tcPr>
          <w:p w14:paraId="49A25A7B" w14:textId="1D157C10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2602" w14:textId="74760DC7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Описание лучшей практики</w:t>
            </w:r>
          </w:p>
        </w:tc>
        <w:tc>
          <w:tcPr>
            <w:tcW w:w="3526" w:type="dxa"/>
          </w:tcPr>
          <w:p w14:paraId="683CDB8A" w14:textId="6FFB771D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Результаты внедрения/ожидаемые результаты</w:t>
            </w:r>
          </w:p>
        </w:tc>
        <w:tc>
          <w:tcPr>
            <w:tcW w:w="4196" w:type="dxa"/>
          </w:tcPr>
          <w:p w14:paraId="01BF1B8C" w14:textId="3E1381B3" w:rsidR="00000CF2" w:rsidRPr="00000CF2" w:rsidRDefault="00000CF2" w:rsidP="0000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BC57C5" w14:paraId="3DF98E3C" w14:textId="77777777" w:rsidTr="00A64AD4">
        <w:tc>
          <w:tcPr>
            <w:tcW w:w="2689" w:type="dxa"/>
          </w:tcPr>
          <w:p w14:paraId="1061A6B7" w14:textId="7CF4FFF5" w:rsidR="006431AD" w:rsidRPr="00065072" w:rsidRDefault="006431AD" w:rsidP="0006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2">
              <w:rPr>
                <w:rFonts w:ascii="Times New Roman" w:hAnsi="Times New Roman" w:cs="Times New Roman"/>
                <w:sz w:val="24"/>
                <w:szCs w:val="24"/>
              </w:rPr>
              <w:t>Администрация Ханкайского муниципального округа Приморского края</w:t>
            </w:r>
          </w:p>
        </w:tc>
        <w:tc>
          <w:tcPr>
            <w:tcW w:w="4326" w:type="dxa"/>
          </w:tcPr>
          <w:p w14:paraId="32FCF282" w14:textId="71134BF5" w:rsidR="00116AA8" w:rsidRPr="00116AA8" w:rsidRDefault="006431AD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116AA8" w:rsidRPr="00116AA8">
              <w:rPr>
                <w:rFonts w:ascii="Times New Roman" w:hAnsi="Times New Roman" w:cs="Times New Roman"/>
                <w:sz w:val="24"/>
                <w:szCs w:val="24"/>
              </w:rPr>
              <w:t>изменениями в законодательстве РФ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6AA8"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полным вступлением в силу 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РФ от 24.12.2021 №2464 «О порядке обучения и проверки знания требований охраны труда», главным специалистом 1 разряда по государственному управлению охраной труда проведено 2 семинара и </w:t>
            </w:r>
            <w:r w:rsidR="00416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4167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и специалистами организаций, индивидуальными предпринимателями -  работодателями Ханкайского муниципального округа. </w:t>
            </w:r>
          </w:p>
          <w:p w14:paraId="1631FD8D" w14:textId="5C07D87B" w:rsidR="00116AA8" w:rsidRPr="00116AA8" w:rsidRDefault="00116AA8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совместное совещание с представителями ОСФ России по Приморскому краю с практическим обзором порядка подачи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рассмотрен вопрос об установлении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скидок и 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надбавок на взносы в </w:t>
            </w:r>
            <w:r w:rsidR="00C77B68">
              <w:rPr>
                <w:rFonts w:ascii="Times New Roman" w:hAnsi="Times New Roman" w:cs="Times New Roman"/>
                <w:sz w:val="24"/>
                <w:szCs w:val="24"/>
              </w:rPr>
              <w:t>ОСФ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14:paraId="185B40C7" w14:textId="2CF0351A" w:rsidR="006431AD" w:rsidRPr="00116AA8" w:rsidRDefault="006431AD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предупреждения производственного травматизма было рекомендовано осуществлять системное планирование работ по охране труда направленное на переход к управлению профессиональными рисками, в том числе информирование работников о существующих профессиональных рисках, требуемых действий по защите работников от вредных и опасных факторов в соответствие с новыми требованиями законодательства в части раздела «X» Трудового кодекса РФ вступившие в силу с 1 марта 2022 года. </w:t>
            </w:r>
            <w:r w:rsidR="00116AA8" w:rsidRPr="00116AA8">
              <w:rPr>
                <w:rFonts w:ascii="Times New Roman" w:hAnsi="Times New Roman" w:cs="Times New Roman"/>
                <w:sz w:val="24"/>
                <w:szCs w:val="24"/>
              </w:rPr>
              <w:t>Были п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мероприятия в рамках проведения «Месячника по охране труда» в преддверии Всемирного дня охраны труда (28 апреля) на территории Ханкайского муниципального округа. </w:t>
            </w:r>
            <w:r w:rsidR="00CE4DE5" w:rsidRPr="00116AA8">
              <w:rPr>
                <w:rFonts w:ascii="Times New Roman" w:hAnsi="Times New Roman" w:cs="Times New Roman"/>
                <w:sz w:val="24"/>
                <w:szCs w:val="24"/>
              </w:rPr>
              <w:t>Работодатели Ханкайского муниципального округа приняли участие в мероприятиях, проводимых Министерством труда и социальной политики Приморского края.</w:t>
            </w:r>
          </w:p>
          <w:p w14:paraId="79C738F6" w14:textId="77777777" w:rsidR="00000CF2" w:rsidRDefault="00116AA8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представителем ДРСК проведены уроки по электробезопасности в школах округа</w:t>
            </w:r>
          </w:p>
          <w:p w14:paraId="5DD3A825" w14:textId="77777777" w:rsidR="007E66F4" w:rsidRDefault="007E66F4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569D7" w14:textId="2BABB83F" w:rsidR="007E66F4" w:rsidRPr="00116AA8" w:rsidRDefault="007E66F4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2AC2A48D" w14:textId="77777777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компетентности руководителей в области законодательства по охране труда</w:t>
            </w:r>
          </w:p>
          <w:p w14:paraId="32A32FDE" w14:textId="1ECB89BC" w:rsidR="00116AA8" w:rsidRPr="005D003E" w:rsidRDefault="00116AA8" w:rsidP="00116A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работодателей </w:t>
            </w:r>
            <w:proofErr w:type="gramStart"/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и  работников</w:t>
            </w:r>
            <w:proofErr w:type="gramEnd"/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согласно требованиям трудового законодательства по охране труда.</w:t>
            </w:r>
          </w:p>
          <w:p w14:paraId="5DFBFF93" w14:textId="77777777" w:rsidR="006431AD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Тестирование и проверка знаний работников организации после обучения. Наработка навыков оказания помощи пострадавшим.</w:t>
            </w:r>
          </w:p>
          <w:p w14:paraId="7F6CCA60" w14:textId="77777777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работников и вовлечения их в систему управления производственной безопасностью.</w:t>
            </w:r>
          </w:p>
          <w:p w14:paraId="43A7B27B" w14:textId="77777777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46799" w14:textId="7C9E9A56" w:rsidR="0020119B" w:rsidRDefault="00C77B68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затраченных средств на мероприятия по охране труда за счет страховых взносов в ОСФ РФ.</w:t>
            </w:r>
          </w:p>
          <w:p w14:paraId="6583E25E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64518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232D1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3931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CAC9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3D7F9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C3E6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F7027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E16C6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E2A5C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E3388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97203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518A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E97E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835E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77821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08CA" w14:textId="12AC911B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Формирование и популяризации культуры безопасного труда среди молодежи</w:t>
            </w:r>
          </w:p>
        </w:tc>
        <w:tc>
          <w:tcPr>
            <w:tcW w:w="4196" w:type="dxa"/>
          </w:tcPr>
          <w:p w14:paraId="7AA02279" w14:textId="77777777" w:rsidR="006431AD" w:rsidRDefault="009F3189">
            <w:r>
              <w:lastRenderedPageBreak/>
              <w:t xml:space="preserve"> </w:t>
            </w:r>
          </w:p>
          <w:p w14:paraId="56C32C7E" w14:textId="1AC447C3" w:rsidR="009F3189" w:rsidRDefault="009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размещаются на официальном сайте Ханкайского муниципального округа (электронный адрес сайта - </w:t>
            </w:r>
            <w:hyperlink r:id="rId5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  <w:r w:rsidR="00663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0C210B" w14:textId="6C5C42D7" w:rsidR="00663CAB" w:rsidRDefault="0066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D1384" w14:textId="3289603E" w:rsidR="00663CAB" w:rsidRPr="009F318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3CAB" w:rsidRPr="00663C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https://hankayski.ru/msu/administratsiya-hankajskogo-munitsipalnogo-rajona/obyavleniya/glavnyij-spetsialist-1-razryada-po-gosudarstvennomu-upravleniyu-ohranoj-truda/rezultatyi-proverok-itogi-smotrov/</w:t>
              </w:r>
            </w:hyperlink>
          </w:p>
          <w:p w14:paraId="7BB5C261" w14:textId="77777777" w:rsidR="009F3189" w:rsidRPr="009F3189" w:rsidRDefault="009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A49D5" w14:textId="77777777" w:rsidR="009F3189" w:rsidRDefault="009F3189"/>
          <w:p w14:paraId="2823D499" w14:textId="77777777" w:rsidR="009F3189" w:rsidRDefault="009F3189"/>
          <w:p w14:paraId="25300341" w14:textId="090F39AA" w:rsidR="009F3189" w:rsidRDefault="009F3189"/>
        </w:tc>
      </w:tr>
      <w:tr w:rsidR="00BC57C5" w14:paraId="04B344A1" w14:textId="77777777" w:rsidTr="00A64AD4">
        <w:tc>
          <w:tcPr>
            <w:tcW w:w="2689" w:type="dxa"/>
          </w:tcPr>
          <w:p w14:paraId="29D2616D" w14:textId="1A66AD7D" w:rsidR="006431AD" w:rsidRPr="00C01797" w:rsidRDefault="00F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105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округа получили разрешения на использование средств ОСФ на предупредительные меры по сокращению производственного травматизма</w:t>
            </w:r>
          </w:p>
        </w:tc>
        <w:tc>
          <w:tcPr>
            <w:tcW w:w="4326" w:type="dxa"/>
          </w:tcPr>
          <w:p w14:paraId="33EEEBC1" w14:textId="4DA873BF" w:rsidR="00310530" w:rsidRDefault="00310530" w:rsidP="003105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затраченных средств на мероприятия по охране труда за счет страховых взносов в ОСФ РФ с целью увеличения обеспечения большего объема финансирования данных мероприятий.</w:t>
            </w:r>
            <w:r w:rsidR="00FA27E6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Работодателями получены разрешения на использование средств ОСФ РФ на общую сумму 863 тысячи рублей, которые направлены на проведение специальной оценки условий труда, периодических медицинский осмотров и приобретение средств индивидуальной защиты.</w:t>
            </w:r>
          </w:p>
          <w:p w14:paraId="06F04CF8" w14:textId="10536B1E" w:rsidR="006431AD" w:rsidRPr="00C01797" w:rsidRDefault="006431AD" w:rsidP="00C0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2C4BCD76" w14:textId="77777777" w:rsidR="00310530" w:rsidRPr="00310530" w:rsidRDefault="00310530" w:rsidP="00310530">
            <w:pPr>
              <w:spacing w:line="31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производственного травматизма, обеспечение безопасности и сохранение здоровья работников в процессе трудовой деятельности.</w:t>
            </w:r>
          </w:p>
          <w:p w14:paraId="03C4B476" w14:textId="7316035A" w:rsidR="00310530" w:rsidRPr="00310530" w:rsidRDefault="00310530" w:rsidP="003105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вероятности несчастных случаев на производстве.</w:t>
            </w:r>
          </w:p>
          <w:p w14:paraId="4BC58CAD" w14:textId="6B411AF6" w:rsidR="006431AD" w:rsidRPr="00C01797" w:rsidRDefault="006431AD" w:rsidP="00C017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7CEF8EAF" w14:textId="77777777" w:rsidR="006431AD" w:rsidRDefault="006431AD"/>
          <w:p w14:paraId="74B2A6BB" w14:textId="207C66B7" w:rsidR="00C01797" w:rsidRDefault="00A64AD4" w:rsidP="00C01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 сайт Ханкайского муниципального округа (электронный адрес сайта - </w:t>
            </w:r>
            <w:hyperlink r:id="rId7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</w:p>
        </w:tc>
      </w:tr>
      <w:tr w:rsidR="00BC57C5" w14:paraId="600E257C" w14:textId="77777777" w:rsidTr="00A64AD4">
        <w:tc>
          <w:tcPr>
            <w:tcW w:w="2689" w:type="dxa"/>
            <w:vAlign w:val="center"/>
          </w:tcPr>
          <w:p w14:paraId="5696009B" w14:textId="453D50B4" w:rsidR="00BC52A3" w:rsidRPr="00BC52A3" w:rsidRDefault="005D003E" w:rsidP="00BC52A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ИП Ханкайского муниципального округа</w:t>
            </w:r>
          </w:p>
        </w:tc>
        <w:tc>
          <w:tcPr>
            <w:tcW w:w="4326" w:type="dxa"/>
          </w:tcPr>
          <w:p w14:paraId="7A65CDFD" w14:textId="4A4CF029" w:rsidR="00BC52A3" w:rsidRPr="005D003E" w:rsidRDefault="005D003E" w:rsidP="005D0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</w:t>
            </w:r>
            <w:r w:rsidR="007E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</w:t>
            </w:r>
            <w:r w:rsidR="00FA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работодателей Ханкайского </w:t>
            </w:r>
            <w:r w:rsidR="007E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униципального округа провели процедуру оценки и управления профессиональными рисками.</w:t>
            </w:r>
            <w:r w:rsidR="00BC52A3"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C52A3"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основании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данной оценки</w:t>
            </w:r>
            <w:r w:rsidR="00BC52A3"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 План мероприятий по снижению уровня профессиональных рисков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1408A2B" w14:textId="53499E5B" w:rsidR="005D003E" w:rsidRDefault="005D003E" w:rsidP="005D003E">
            <w:pPr>
              <w:jc w:val="both"/>
              <w:rPr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Специальную оценку условий труда провел </w:t>
            </w:r>
            <w:r w:rsidR="00FA27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7E66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A27E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местах.</w:t>
            </w:r>
            <w:r>
              <w:rPr>
                <w:sz w:val="24"/>
                <w:szCs w:val="24"/>
              </w:rPr>
              <w:t xml:space="preserve"> </w:t>
            </w:r>
          </w:p>
          <w:p w14:paraId="02DA3BAF" w14:textId="455382BE" w:rsidR="00BC57C5" w:rsidRDefault="00BC57C5" w:rsidP="005D003E">
            <w:pPr>
              <w:jc w:val="both"/>
              <w:rPr>
                <w:sz w:val="24"/>
                <w:szCs w:val="24"/>
              </w:rPr>
            </w:pPr>
          </w:p>
          <w:p w14:paraId="2FCB7ACE" w14:textId="2C330B20" w:rsidR="00BC57C5" w:rsidRDefault="00BC57C5" w:rsidP="005D003E">
            <w:pPr>
              <w:jc w:val="both"/>
              <w:rPr>
                <w:sz w:val="24"/>
                <w:szCs w:val="24"/>
              </w:rPr>
            </w:pPr>
          </w:p>
          <w:p w14:paraId="4F8AB16C" w14:textId="493D6502" w:rsidR="00BC57C5" w:rsidRDefault="00411B7B" w:rsidP="005D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57C5" w:rsidRPr="00BC57C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«Нулевого травматизма» разработана и внедрена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57C5" w:rsidRPr="00BC57C5">
              <w:rPr>
                <w:rFonts w:ascii="Times New Roman" w:hAnsi="Times New Roman" w:cs="Times New Roman"/>
                <w:sz w:val="24"/>
                <w:szCs w:val="24"/>
              </w:rPr>
              <w:t xml:space="preserve"> 40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C57C5" w:rsidRPr="00BC57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округа.</w:t>
            </w:r>
          </w:p>
          <w:p w14:paraId="2BD5D4DA" w14:textId="77777777" w:rsidR="00BC57C5" w:rsidRDefault="00BC57C5" w:rsidP="005D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2DB3" w14:textId="16C55836" w:rsidR="00BC57C5" w:rsidRPr="00BC57C5" w:rsidRDefault="00BC57C5" w:rsidP="005D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5D68CC1D" w14:textId="77777777" w:rsidR="00BC52A3" w:rsidRPr="00BC52A3" w:rsidRDefault="00BC52A3" w:rsidP="00BC52A3">
            <w:pPr>
              <w:spacing w:line="31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C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производственного травматизма, обеспечение безопасности и сохранение здоровья работников в процессе трудовой деятельности.</w:t>
            </w:r>
          </w:p>
          <w:p w14:paraId="186B4D54" w14:textId="0376CD43" w:rsidR="00BC52A3" w:rsidRDefault="00BC52A3" w:rsidP="00BC52A3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вероятности несчастных случаев на производстве. Повышение мотивации работников на работу в безопасных условиях труда и повышение социальной защищенности</w:t>
            </w:r>
            <w:r w:rsidR="00BC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FAD3A8F" w14:textId="33AC7B22" w:rsidR="00BC57C5" w:rsidRDefault="00BC57C5" w:rsidP="00BC52A3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FC9280" w14:textId="3C06018F" w:rsidR="00BC57C5" w:rsidRPr="00BC57C5" w:rsidRDefault="00BC57C5" w:rsidP="00BC52A3">
            <w:pPr>
              <w:spacing w:line="31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C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безопасных условий и сохранения здоровья работников на рабочем месте, обеспечения соответствия </w:t>
            </w:r>
            <w:r w:rsidRPr="00BC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 и процессов производства государственным нормативным требованиям по охране труда</w:t>
            </w:r>
          </w:p>
          <w:p w14:paraId="0FBFFB61" w14:textId="67824C5B" w:rsidR="00BC52A3" w:rsidRPr="00BC52A3" w:rsidRDefault="00BC52A3" w:rsidP="00BC52A3">
            <w:pPr>
              <w:rPr>
                <w:sz w:val="24"/>
                <w:szCs w:val="24"/>
              </w:rPr>
            </w:pPr>
            <w:r w:rsidRPr="00BC52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</w:tcPr>
          <w:p w14:paraId="590F5182" w14:textId="77777777" w:rsidR="00BC52A3" w:rsidRDefault="00BC52A3" w:rsidP="00BC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E1C3E" w14:textId="77777777" w:rsidR="00BC52A3" w:rsidRDefault="00BC52A3" w:rsidP="00BC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B796D" w14:textId="7C8E6685" w:rsidR="00BC52A3" w:rsidRDefault="00A64AD4" w:rsidP="00BC52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 сайт Ханкайского муниципального округа (электронный адрес сайта - </w:t>
            </w:r>
            <w:hyperlink r:id="rId8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</w:p>
        </w:tc>
      </w:tr>
      <w:tr w:rsidR="003361B0" w14:paraId="00E588F3" w14:textId="77777777" w:rsidTr="00AE658B">
        <w:trPr>
          <w:trHeight w:val="3680"/>
        </w:trPr>
        <w:tc>
          <w:tcPr>
            <w:tcW w:w="2689" w:type="dxa"/>
            <w:vAlign w:val="center"/>
          </w:tcPr>
          <w:p w14:paraId="451F99BE" w14:textId="5AE17760" w:rsidR="003361B0" w:rsidRDefault="003361B0" w:rsidP="006B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Ханкайского муниципального округа</w:t>
            </w:r>
          </w:p>
        </w:tc>
        <w:tc>
          <w:tcPr>
            <w:tcW w:w="4326" w:type="dxa"/>
          </w:tcPr>
          <w:p w14:paraId="418F548D" w14:textId="5E1C058F" w:rsidR="007E66F4" w:rsidRPr="00A55DDF" w:rsidRDefault="003361B0" w:rsidP="007E66F4">
            <w:pPr>
              <w:pStyle w:val="a9"/>
              <w:numPr>
                <w:ilvl w:val="0"/>
                <w:numId w:val="1"/>
              </w:numPr>
              <w:tabs>
                <w:tab w:val="left" w:pos="598"/>
              </w:tabs>
              <w:ind w:left="0" w:firstLine="315"/>
              <w:jc w:val="both"/>
              <w:rPr>
                <w:sz w:val="24"/>
                <w:szCs w:val="24"/>
              </w:rPr>
            </w:pPr>
            <w:r w:rsidRPr="003361B0">
              <w:rPr>
                <w:color w:val="000000"/>
                <w:sz w:val="24"/>
                <w:szCs w:val="24"/>
              </w:rPr>
              <w:t xml:space="preserve">В течение </w:t>
            </w:r>
            <w:r w:rsidR="003516D0">
              <w:rPr>
                <w:color w:val="000000"/>
                <w:sz w:val="24"/>
                <w:szCs w:val="24"/>
              </w:rPr>
              <w:t>9 месяцев</w:t>
            </w:r>
            <w:r w:rsidR="007E66F4">
              <w:rPr>
                <w:color w:val="000000"/>
                <w:sz w:val="24"/>
                <w:szCs w:val="24"/>
              </w:rPr>
              <w:t xml:space="preserve"> 2023</w:t>
            </w:r>
            <w:r w:rsidRPr="003361B0">
              <w:rPr>
                <w:color w:val="000000"/>
                <w:sz w:val="24"/>
                <w:szCs w:val="24"/>
              </w:rPr>
              <w:t xml:space="preserve"> года </w:t>
            </w:r>
            <w:r w:rsidR="007E66F4">
              <w:rPr>
                <w:color w:val="000000"/>
                <w:sz w:val="24"/>
                <w:szCs w:val="24"/>
              </w:rPr>
              <w:t>в школах округа проведены классные часы на темы</w:t>
            </w:r>
            <w:r w:rsidR="007E66F4" w:rsidRPr="007E66F4">
              <w:rPr>
                <w:color w:val="000000"/>
                <w:sz w:val="24"/>
                <w:szCs w:val="24"/>
              </w:rPr>
              <w:t>:</w:t>
            </w:r>
            <w:r w:rsidR="007E66F4">
              <w:rPr>
                <w:color w:val="000000"/>
                <w:sz w:val="24"/>
                <w:szCs w:val="24"/>
              </w:rPr>
              <w:t xml:space="preserve"> </w:t>
            </w:r>
          </w:p>
          <w:p w14:paraId="38B5128A" w14:textId="66FC1503" w:rsidR="00A55DDF" w:rsidRDefault="00A55DDF" w:rsidP="00A55DDF">
            <w:pPr>
              <w:tabs>
                <w:tab w:val="left" w:pos="598"/>
              </w:tabs>
              <w:ind w:left="3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«Охрана труда в профессиях родителей»; «Особенности труда несовершеннолетних. Трудовое право. Трудовой договор»; </w:t>
            </w:r>
            <w:r w:rsidRPr="00A55DDF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 (Разговор о повседневном безопасном поведении в школе, безопасность на переменах. Работа в лабораториях и мастерских. Безопасное поведение в спортивном зале и на спортивной площадке);</w:t>
            </w: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«Соблюдай правила по охране труда» (тестирование по прохождению летней трудовой практике); «Особенности труда несовершеннолетних» (Т.Б. несовершеннолетних при работе с инвентарём); «Трудовой договор и особенности труда несовершеннолетних» (право на труд в Конституции РФ. Трудовой договор-соглашение между работодателем и работником. Заключение трудового договора с несовершеннолетними с 14 лет. Документ, предъявляемые работодателю, при приёме на работу)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другие.</w:t>
            </w:r>
          </w:p>
          <w:p w14:paraId="0F9CFCE1" w14:textId="6FCDC1B1" w:rsidR="00A55DDF" w:rsidRDefault="00A55DDF" w:rsidP="00A55DDF">
            <w:pPr>
              <w:tabs>
                <w:tab w:val="left" w:pos="598"/>
              </w:tabs>
              <w:ind w:left="3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Организованы</w:t>
            </w: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конкурсы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выставки</w:t>
            </w: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детских рисунков в образовательных организациях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тему «Охрана труда в профессиях родителей»</w:t>
            </w: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CB767D9" w14:textId="0351155D" w:rsidR="00A55DDF" w:rsidRDefault="00A55DDF" w:rsidP="00A55DDF">
            <w:pPr>
              <w:tabs>
                <w:tab w:val="left" w:pos="598"/>
              </w:tabs>
              <w:ind w:left="31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A55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5DD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икторина “Что нужно знать о </w:t>
            </w:r>
            <w:r w:rsidRPr="00A55D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безопасной и здоровой рабочей среде</w:t>
            </w:r>
            <w:r w:rsidRPr="00A55DD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”.</w:t>
            </w:r>
          </w:p>
          <w:p w14:paraId="0294FE34" w14:textId="52C16AA9" w:rsidR="00A55DDF" w:rsidRDefault="00A55DDF" w:rsidP="00A55DDF">
            <w:pPr>
              <w:tabs>
                <w:tab w:val="left" w:pos="598"/>
              </w:tabs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просмотр тематических видеофильмов.</w:t>
            </w:r>
          </w:p>
          <w:p w14:paraId="6859F8DE" w14:textId="45DECC28" w:rsidR="003361B0" w:rsidRPr="007E66F4" w:rsidRDefault="00A55DDF" w:rsidP="00AE658B">
            <w:pPr>
              <w:jc w:val="both"/>
              <w:rPr>
                <w:color w:val="000000"/>
                <w:sz w:val="24"/>
                <w:szCs w:val="24"/>
              </w:rPr>
            </w:pPr>
            <w:r w:rsidRPr="00A55DDF">
              <w:rPr>
                <w:rFonts w:ascii="Times New Roman" w:hAnsi="Times New Roman" w:cs="Times New Roman"/>
                <w:sz w:val="24"/>
                <w:szCs w:val="24"/>
              </w:rPr>
              <w:t>Проведены внеклассные мероприятия по охране труда: «Остаться здоровыми»,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«Безопасность – это важно».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Внеплановые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инструктажи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«Безопасные уроки» «Охрана труда обучающихся во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время учебно-воспитательного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процесса»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EAD5D99" w14:textId="2AA294BB" w:rsidR="003361B0" w:rsidRPr="00BC52A3" w:rsidRDefault="003361B0" w:rsidP="003361B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популяризации культуры безопасного труда среди молодежи</w:t>
            </w:r>
          </w:p>
        </w:tc>
        <w:tc>
          <w:tcPr>
            <w:tcW w:w="4196" w:type="dxa"/>
          </w:tcPr>
          <w:p w14:paraId="3BECA793" w14:textId="03D971F5" w:rsidR="003361B0" w:rsidRDefault="003361B0" w:rsidP="00BC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 сайт Ханкайского муниципального округа (электронный адрес сайта - </w:t>
            </w:r>
            <w:hyperlink r:id="rId9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</w:p>
        </w:tc>
      </w:tr>
    </w:tbl>
    <w:p w14:paraId="525E1ED4" w14:textId="77777777" w:rsidR="00826F42" w:rsidRDefault="00826F42"/>
    <w:sectPr w:rsidR="00826F42" w:rsidSect="00647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F6F"/>
    <w:multiLevelType w:val="hybridMultilevel"/>
    <w:tmpl w:val="8F621EC4"/>
    <w:lvl w:ilvl="0" w:tplc="DF902256">
      <w:start w:val="1"/>
      <w:numFmt w:val="decimal"/>
      <w:lvlText w:val="%1."/>
      <w:lvlJc w:val="left"/>
      <w:pPr>
        <w:ind w:left="284" w:firstLine="7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51769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0D"/>
    <w:rsid w:val="00000CF2"/>
    <w:rsid w:val="00044F49"/>
    <w:rsid w:val="00065072"/>
    <w:rsid w:val="00065D01"/>
    <w:rsid w:val="000E3994"/>
    <w:rsid w:val="000F7C1E"/>
    <w:rsid w:val="00116AA8"/>
    <w:rsid w:val="001F7267"/>
    <w:rsid w:val="0020119B"/>
    <w:rsid w:val="00310530"/>
    <w:rsid w:val="003361B0"/>
    <w:rsid w:val="003516D0"/>
    <w:rsid w:val="00411B7B"/>
    <w:rsid w:val="00416785"/>
    <w:rsid w:val="0059602D"/>
    <w:rsid w:val="005D003E"/>
    <w:rsid w:val="006431AD"/>
    <w:rsid w:val="00647F0D"/>
    <w:rsid w:val="00663CAB"/>
    <w:rsid w:val="006B4D7B"/>
    <w:rsid w:val="006C63F6"/>
    <w:rsid w:val="006F06D3"/>
    <w:rsid w:val="007E66F4"/>
    <w:rsid w:val="00826F42"/>
    <w:rsid w:val="00854FF1"/>
    <w:rsid w:val="009F3189"/>
    <w:rsid w:val="00A55DDF"/>
    <w:rsid w:val="00A64AD4"/>
    <w:rsid w:val="00AE658B"/>
    <w:rsid w:val="00B47A03"/>
    <w:rsid w:val="00BC52A3"/>
    <w:rsid w:val="00BC57C5"/>
    <w:rsid w:val="00C01797"/>
    <w:rsid w:val="00C77B68"/>
    <w:rsid w:val="00C94BE9"/>
    <w:rsid w:val="00CE4DE5"/>
    <w:rsid w:val="00F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445A"/>
  <w15:chartTrackingRefBased/>
  <w15:docId w15:val="{E47E6934-7F1B-405C-A769-7446DECD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F0D"/>
    <w:rPr>
      <w:b/>
      <w:bCs/>
    </w:rPr>
  </w:style>
  <w:style w:type="table" w:styleId="a5">
    <w:name w:val="Table Grid"/>
    <w:basedOn w:val="a1"/>
    <w:uiPriority w:val="39"/>
    <w:rsid w:val="0064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F318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F31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C52A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336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kays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nkays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kayski.ru/msu/administratsiya-hankajskogo-munitsipalnogo-rajona/obyavleniya/glavnyij-spetsialist-1-razryada-po-gosudarstvennomu-upravleniyu-ohranoj-truda/rezultatyi-proverok-itogi-smotr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nkaysk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nkay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27</cp:revision>
  <dcterms:created xsi:type="dcterms:W3CDTF">2023-01-25T00:04:00Z</dcterms:created>
  <dcterms:modified xsi:type="dcterms:W3CDTF">2023-11-28T06:48:00Z</dcterms:modified>
</cp:coreProperties>
</file>