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EE" w:rsidRDefault="00F551E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551EE" w:rsidRDefault="00F551EE">
      <w:pPr>
        <w:pStyle w:val="ConsPlusNormal"/>
        <w:jc w:val="both"/>
        <w:outlineLvl w:val="0"/>
      </w:pPr>
    </w:p>
    <w:p w:rsidR="00F551EE" w:rsidRDefault="00F551EE">
      <w:pPr>
        <w:pStyle w:val="ConsPlusNormal"/>
        <w:outlineLvl w:val="0"/>
      </w:pPr>
      <w:r>
        <w:t>Зарегистрировано в Минюсте России 27 мая 2021 г. N 63644</w:t>
      </w:r>
    </w:p>
    <w:p w:rsidR="00F551EE" w:rsidRDefault="00F551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51EE" w:rsidRDefault="00F551EE">
      <w:pPr>
        <w:pStyle w:val="ConsPlusNormal"/>
        <w:jc w:val="both"/>
      </w:pPr>
    </w:p>
    <w:p w:rsidR="00F551EE" w:rsidRDefault="00F551EE">
      <w:pPr>
        <w:pStyle w:val="ConsPlusTitle"/>
        <w:jc w:val="center"/>
      </w:pPr>
      <w:r>
        <w:t>МИНИСТЕРСТВО ТРАНСПОРТА РОССИЙСКОЙ ФЕДЕРАЦИИ</w:t>
      </w:r>
    </w:p>
    <w:p w:rsidR="00F551EE" w:rsidRDefault="00F551EE">
      <w:pPr>
        <w:pStyle w:val="ConsPlusTitle"/>
        <w:jc w:val="center"/>
      </w:pPr>
    </w:p>
    <w:p w:rsidR="00F551EE" w:rsidRDefault="00F551EE">
      <w:pPr>
        <w:pStyle w:val="ConsPlusTitle"/>
        <w:jc w:val="center"/>
      </w:pPr>
      <w:r>
        <w:t>ПРИКАЗ</w:t>
      </w:r>
    </w:p>
    <w:p w:rsidR="00F551EE" w:rsidRDefault="00F551EE">
      <w:pPr>
        <w:pStyle w:val="ConsPlusTitle"/>
        <w:jc w:val="center"/>
      </w:pPr>
      <w:r>
        <w:t>от 15 января 2021 г. N 9</w:t>
      </w:r>
    </w:p>
    <w:p w:rsidR="00F551EE" w:rsidRDefault="00F551EE">
      <w:pPr>
        <w:pStyle w:val="ConsPlusTitle"/>
        <w:jc w:val="center"/>
      </w:pPr>
    </w:p>
    <w:p w:rsidR="00F551EE" w:rsidRDefault="00F551EE">
      <w:pPr>
        <w:pStyle w:val="ConsPlusTitle"/>
        <w:jc w:val="center"/>
      </w:pPr>
      <w:r>
        <w:t>ОБ УТВЕРЖДЕНИИ ПОРЯДКА</w:t>
      </w:r>
    </w:p>
    <w:p w:rsidR="00F551EE" w:rsidRDefault="00F551EE">
      <w:pPr>
        <w:pStyle w:val="ConsPlusTitle"/>
        <w:jc w:val="center"/>
      </w:pPr>
      <w:r>
        <w:t>ОРГАНИЗАЦИИ И ПРОВЕДЕНИЯ ПРЕДРЕЙСОВОГО ИЛИ ПРЕДСМЕННОГО</w:t>
      </w:r>
    </w:p>
    <w:p w:rsidR="00F551EE" w:rsidRDefault="00F551EE">
      <w:pPr>
        <w:pStyle w:val="ConsPlusTitle"/>
        <w:jc w:val="center"/>
      </w:pPr>
      <w:r>
        <w:t>КОНТРОЛЯ ТЕХНИЧЕСКОГО СОСТОЯНИЯ ТРАНСПОРТНЫХ СРЕДСТВ</w:t>
      </w:r>
    </w:p>
    <w:p w:rsidR="00F551EE" w:rsidRDefault="00F551EE">
      <w:pPr>
        <w:pStyle w:val="ConsPlusNormal"/>
        <w:jc w:val="both"/>
      </w:pPr>
    </w:p>
    <w:p w:rsidR="00F551EE" w:rsidRDefault="00F551E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 статьи 20</w:t>
        </w:r>
      </w:hyperlink>
      <w:r>
        <w:t xml:space="preserve"> Федерального закона от 10 декабря 1995 г. N 196-ФЗ "О безопасности дорожного движения" (Собрание законодательства Российской Федерации, 1995, N 50, ст. 4873; </w:t>
      </w:r>
      <w:proofErr w:type="gramStart"/>
      <w:r>
        <w:t xml:space="preserve">2018, N 45, ст. 6841) и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2019, N 1, ст. 10), приказываю:</w:t>
      </w:r>
      <w:proofErr w:type="gramEnd"/>
    </w:p>
    <w:p w:rsidR="00F551EE" w:rsidRDefault="00F551E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организации и проведения предрейсового или предсменного контроля технического состояния транспортных средств.</w:t>
      </w:r>
    </w:p>
    <w:p w:rsidR="00F551EE" w:rsidRDefault="00F551EE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2021 г. и действует до 1 сентября 2027 г.</w:t>
      </w:r>
    </w:p>
    <w:p w:rsidR="00F551EE" w:rsidRDefault="00F551EE">
      <w:pPr>
        <w:pStyle w:val="ConsPlusNormal"/>
        <w:jc w:val="both"/>
      </w:pPr>
    </w:p>
    <w:p w:rsidR="00F551EE" w:rsidRDefault="00F551EE">
      <w:pPr>
        <w:pStyle w:val="ConsPlusNormal"/>
        <w:jc w:val="right"/>
      </w:pPr>
      <w:r>
        <w:t>Министр</w:t>
      </w:r>
    </w:p>
    <w:p w:rsidR="00F551EE" w:rsidRDefault="00F551EE">
      <w:pPr>
        <w:pStyle w:val="ConsPlusNormal"/>
        <w:jc w:val="right"/>
      </w:pPr>
      <w:r>
        <w:t>В.Г.САВЕЛЬЕВ</w:t>
      </w:r>
    </w:p>
    <w:p w:rsidR="00F551EE" w:rsidRDefault="00F551EE">
      <w:pPr>
        <w:pStyle w:val="ConsPlusNormal"/>
        <w:jc w:val="both"/>
      </w:pPr>
    </w:p>
    <w:p w:rsidR="00F551EE" w:rsidRDefault="00F551EE">
      <w:pPr>
        <w:pStyle w:val="ConsPlusNormal"/>
        <w:jc w:val="both"/>
      </w:pPr>
    </w:p>
    <w:p w:rsidR="00F551EE" w:rsidRDefault="00F551EE">
      <w:pPr>
        <w:pStyle w:val="ConsPlusNormal"/>
        <w:jc w:val="both"/>
      </w:pPr>
    </w:p>
    <w:p w:rsidR="00F551EE" w:rsidRDefault="00F551EE">
      <w:pPr>
        <w:pStyle w:val="ConsPlusNormal"/>
        <w:jc w:val="both"/>
      </w:pPr>
    </w:p>
    <w:p w:rsidR="00F551EE" w:rsidRDefault="00F551EE">
      <w:pPr>
        <w:pStyle w:val="ConsPlusNormal"/>
        <w:jc w:val="both"/>
      </w:pPr>
    </w:p>
    <w:p w:rsidR="00F551EE" w:rsidRDefault="00F551EE">
      <w:pPr>
        <w:pStyle w:val="ConsPlusNormal"/>
        <w:jc w:val="right"/>
        <w:outlineLvl w:val="0"/>
      </w:pPr>
      <w:r>
        <w:t>Утвержден</w:t>
      </w:r>
    </w:p>
    <w:p w:rsidR="00F551EE" w:rsidRDefault="00F551EE">
      <w:pPr>
        <w:pStyle w:val="ConsPlusNormal"/>
        <w:jc w:val="right"/>
      </w:pPr>
      <w:r>
        <w:t>приказом Минтранса России</w:t>
      </w:r>
    </w:p>
    <w:p w:rsidR="00F551EE" w:rsidRDefault="00F551EE">
      <w:pPr>
        <w:pStyle w:val="ConsPlusNormal"/>
        <w:jc w:val="right"/>
      </w:pPr>
      <w:r>
        <w:t>от 15 января 2021 г. N 9</w:t>
      </w:r>
    </w:p>
    <w:p w:rsidR="00F551EE" w:rsidRDefault="00F551EE">
      <w:pPr>
        <w:pStyle w:val="ConsPlusNormal"/>
        <w:jc w:val="both"/>
      </w:pPr>
    </w:p>
    <w:p w:rsidR="00F551EE" w:rsidRDefault="00F551EE">
      <w:pPr>
        <w:pStyle w:val="ConsPlusTitle"/>
        <w:jc w:val="center"/>
      </w:pPr>
      <w:bookmarkStart w:id="0" w:name="P28"/>
      <w:bookmarkEnd w:id="0"/>
      <w:r>
        <w:t>ПОРЯДОК</w:t>
      </w:r>
    </w:p>
    <w:p w:rsidR="00F551EE" w:rsidRDefault="00F551EE">
      <w:pPr>
        <w:pStyle w:val="ConsPlusTitle"/>
        <w:jc w:val="center"/>
      </w:pPr>
      <w:r>
        <w:t>ОРГАНИЗАЦИИ И ПРОВЕДЕНИЯ ПРЕДРЕЙСОВОГО ИЛИ ПРЕДСМЕННОГО</w:t>
      </w:r>
    </w:p>
    <w:p w:rsidR="00F551EE" w:rsidRDefault="00F551EE">
      <w:pPr>
        <w:pStyle w:val="ConsPlusTitle"/>
        <w:jc w:val="center"/>
      </w:pPr>
      <w:r>
        <w:t>КОНТРОЛЯ ТЕХНИЧЕСКОГО СОСТОЯНИЯ ТРАНСПОРТНЫХ СРЕДСТВ</w:t>
      </w:r>
    </w:p>
    <w:p w:rsidR="00F551EE" w:rsidRDefault="00F551EE">
      <w:pPr>
        <w:pStyle w:val="ConsPlusNormal"/>
        <w:jc w:val="both"/>
      </w:pPr>
    </w:p>
    <w:p w:rsidR="00F551EE" w:rsidRDefault="00F551EE">
      <w:pPr>
        <w:pStyle w:val="ConsPlusNormal"/>
        <w:ind w:firstLine="540"/>
        <w:jc w:val="both"/>
      </w:pPr>
      <w:r>
        <w:t>1. Порядок организации и проведения предрейсового или предсменного контроля технического состояния транспортных средств (далее - Порядок) устанавливает требования к организации и проведению предрейсового или предсменного контроля технического состояния транспортных средств (далее - контроль) с целью исключения выпуска на линию технически неисправных транспортных средств.</w:t>
      </w:r>
    </w:p>
    <w:p w:rsidR="00F551EE" w:rsidRDefault="00F551E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Порядок обязателен для юридических лиц и индивидуальных предпринимателей, осуществляющих перевозки пассажиров на основании договора перевозки или договора фрахтования и (или) грузов на основании договора перевозки (коммерческие перевозки), а также осуществляющих перемещение лиц, кроме водителя, и (или) материальных объектов автобусами и грузовыми автомобилями без заключения указанных договоров (перевозки для собственных нужд автобусами и грузовыми автомобилями) &lt;1&gt; (далее - субъекты транспортной деятельности).</w:t>
      </w:r>
      <w:proofErr w:type="gramEnd"/>
    </w:p>
    <w:p w:rsidR="00F551EE" w:rsidRDefault="00F551EE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F551EE" w:rsidRDefault="00F551E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Пункт 2 статьи 20</w:t>
        </w:r>
      </w:hyperlink>
      <w:r>
        <w:t xml:space="preserve"> Федерального закона от 10 декабря 1995 г. N 196-ФЗ "О безопасности дорожного движения".</w:t>
      </w:r>
    </w:p>
    <w:p w:rsidR="00F551EE" w:rsidRDefault="00F551EE">
      <w:pPr>
        <w:pStyle w:val="ConsPlusNormal"/>
        <w:jc w:val="both"/>
      </w:pPr>
    </w:p>
    <w:p w:rsidR="00F551EE" w:rsidRDefault="00F551EE">
      <w:pPr>
        <w:pStyle w:val="ConsPlusNormal"/>
        <w:ind w:firstLine="540"/>
        <w:jc w:val="both"/>
      </w:pPr>
      <w:r>
        <w:t>3. Контроль проводится во время подготовки транспортного средства к выполнению водителем или группой водителей одного или нескольких рейсов в течение одного или нескольких рабочих дней с оформлением одного путевого листа.</w:t>
      </w:r>
    </w:p>
    <w:p w:rsidR="00F551EE" w:rsidRDefault="00F551EE">
      <w:pPr>
        <w:pStyle w:val="ConsPlusNormal"/>
        <w:spacing w:before="220"/>
        <w:ind w:firstLine="540"/>
        <w:jc w:val="both"/>
      </w:pPr>
      <w:r>
        <w:t>4. Контроль проводится в любой промежуток времени, необходимый для определения технического состояния транспортного средства и ограниченный временем въезда транспортного средства на парковку (парковочное место), предназначенную для стоянки транспортного средства по возвращении из рейса и окончании смены водителя транспортного средства (далее - парковка), до выезда транспортного средства с парковки.</w:t>
      </w:r>
    </w:p>
    <w:p w:rsidR="00F551EE" w:rsidRDefault="00F551EE">
      <w:pPr>
        <w:pStyle w:val="ConsPlusNormal"/>
        <w:spacing w:before="220"/>
        <w:ind w:firstLine="540"/>
        <w:jc w:val="both"/>
      </w:pPr>
      <w:r>
        <w:t>5. При сменной работе водителей на одном транспортном средстве контроль проводится до начала рейса или смены (рабочего дня) водителя транспортного средства, который первым выезжает с парковки.</w:t>
      </w:r>
    </w:p>
    <w:p w:rsidR="00F551EE" w:rsidRDefault="00F551EE">
      <w:pPr>
        <w:pStyle w:val="ConsPlusNormal"/>
        <w:spacing w:before="220"/>
        <w:ind w:firstLine="540"/>
        <w:jc w:val="both"/>
      </w:pPr>
      <w:r>
        <w:t xml:space="preserve">6. Контроль осуществляется работником субъекта транспортной деятельности либо работником сторонней организации или привлекаемым для проведения контроля индивидуальным предпринимателем. </w:t>
      </w:r>
      <w:proofErr w:type="gramStart"/>
      <w:r>
        <w:t xml:space="preserve">Работники или индивидуальные предприниматели, указанные в настоящем пункте, осуществляющие контроль, должны соответствовать профессиональным и квалификационным требованиям, предъявляемым при осуществлении перевозок к работникам юридических лиц и индивидуальных предпринимателей, указанных в </w:t>
      </w:r>
      <w:hyperlink r:id="rId9" w:history="1">
        <w:r>
          <w:rPr>
            <w:color w:val="0000FF"/>
          </w:rPr>
          <w:t>абзаце первом пункта 2 статьи 20</w:t>
        </w:r>
      </w:hyperlink>
      <w:r>
        <w:t xml:space="preserve"> Федерального закона "О безопасности дорожного движения", устанавливаемым Минтрансом России в соответствии с </w:t>
      </w:r>
      <w:hyperlink r:id="rId10" w:history="1">
        <w:r>
          <w:rPr>
            <w:color w:val="0000FF"/>
          </w:rPr>
          <w:t>пунктом 2 статьи 20</w:t>
        </w:r>
      </w:hyperlink>
      <w:r>
        <w:t xml:space="preserve"> Федерального закона от 10 декабря 1995 г. N 196-ФЗ</w:t>
      </w:r>
      <w:proofErr w:type="gramEnd"/>
      <w:r>
        <w:t xml:space="preserve"> "О безопасности дорожного движения", </w:t>
      </w:r>
      <w:proofErr w:type="gramStart"/>
      <w:r>
        <w:t>предъявляемым</w:t>
      </w:r>
      <w:proofErr w:type="gramEnd"/>
      <w:r>
        <w:t xml:space="preserve"> к контролеру технического состояния транспортных средств автомобильного транспорта или контролеру технического состояния транспортных средств городского наземного электрического транспорта.</w:t>
      </w:r>
    </w:p>
    <w:p w:rsidR="00F551EE" w:rsidRDefault="00F551EE">
      <w:pPr>
        <w:pStyle w:val="ConsPlusNormal"/>
        <w:spacing w:before="220"/>
        <w:ind w:firstLine="540"/>
        <w:jc w:val="both"/>
      </w:pPr>
      <w:bookmarkStart w:id="1" w:name="P41"/>
      <w:bookmarkEnd w:id="1"/>
      <w:r>
        <w:t>7. При проведении контроля должны быть проверены:</w:t>
      </w:r>
    </w:p>
    <w:p w:rsidR="00F551EE" w:rsidRDefault="00F551EE">
      <w:pPr>
        <w:pStyle w:val="ConsPlusNormal"/>
        <w:spacing w:before="220"/>
        <w:ind w:firstLine="540"/>
        <w:jc w:val="both"/>
      </w:pPr>
      <w:r>
        <w:t>1) исправность:</w:t>
      </w:r>
    </w:p>
    <w:p w:rsidR="00F551EE" w:rsidRDefault="00F551EE">
      <w:pPr>
        <w:pStyle w:val="ConsPlusNormal"/>
        <w:spacing w:before="220"/>
        <w:ind w:firstLine="540"/>
        <w:jc w:val="both"/>
      </w:pPr>
      <w:r>
        <w:t>тормозной системы (включая манометр пневматического или пневмогидравлического тормозных приводов, если их установка предусмотрена конструкцией транспортного средства);</w:t>
      </w:r>
    </w:p>
    <w:p w:rsidR="00F551EE" w:rsidRDefault="00F551EE">
      <w:pPr>
        <w:pStyle w:val="ConsPlusNormal"/>
        <w:spacing w:before="220"/>
        <w:ind w:firstLine="540"/>
        <w:jc w:val="both"/>
      </w:pPr>
      <w:r>
        <w:t>рулевого управления;</w:t>
      </w:r>
    </w:p>
    <w:p w:rsidR="00F551EE" w:rsidRDefault="00F551EE">
      <w:pPr>
        <w:pStyle w:val="ConsPlusNormal"/>
        <w:spacing w:before="220"/>
        <w:ind w:firstLine="540"/>
        <w:jc w:val="both"/>
      </w:pPr>
      <w:r>
        <w:t>стеклоомывателей;</w:t>
      </w:r>
    </w:p>
    <w:p w:rsidR="00F551EE" w:rsidRDefault="00F551EE">
      <w:pPr>
        <w:pStyle w:val="ConsPlusNormal"/>
        <w:spacing w:before="220"/>
        <w:ind w:firstLine="540"/>
        <w:jc w:val="both"/>
      </w:pPr>
      <w:r>
        <w:t>колес (кроме трамвая);</w:t>
      </w:r>
    </w:p>
    <w:p w:rsidR="00F551EE" w:rsidRDefault="00F551EE">
      <w:pPr>
        <w:pStyle w:val="ConsPlusNormal"/>
        <w:spacing w:before="220"/>
        <w:ind w:firstLine="540"/>
        <w:jc w:val="both"/>
      </w:pPr>
      <w:r>
        <w:t>шин (кроме трамвая);</w:t>
      </w:r>
    </w:p>
    <w:p w:rsidR="00F551EE" w:rsidRDefault="00F551EE">
      <w:pPr>
        <w:pStyle w:val="ConsPlusNormal"/>
        <w:spacing w:before="220"/>
        <w:ind w:firstLine="540"/>
        <w:jc w:val="both"/>
      </w:pPr>
      <w:r>
        <w:t>звукового сигнала;</w:t>
      </w:r>
    </w:p>
    <w:p w:rsidR="00F551EE" w:rsidRDefault="00F551EE">
      <w:pPr>
        <w:pStyle w:val="ConsPlusNormal"/>
        <w:spacing w:before="220"/>
        <w:ind w:firstLine="540"/>
        <w:jc w:val="both"/>
      </w:pPr>
      <w:r>
        <w:t>тахографа (если обязательность его установки предусмотрена законодательством Российской Федерации) &lt;2&gt;;</w:t>
      </w:r>
    </w:p>
    <w:p w:rsidR="00F551EE" w:rsidRDefault="00F551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51EE" w:rsidRDefault="00F551EE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Пункт 1 статьи 20</w:t>
        </w:r>
      </w:hyperlink>
      <w:r>
        <w:t xml:space="preserve"> Федерального закона от 10 декабря 1995 г. N 196-ФЗ "О безопасности дорожного движения".</w:t>
      </w:r>
    </w:p>
    <w:p w:rsidR="00F551EE" w:rsidRDefault="00F551EE">
      <w:pPr>
        <w:pStyle w:val="ConsPlusNormal"/>
        <w:jc w:val="both"/>
      </w:pPr>
    </w:p>
    <w:p w:rsidR="00F551EE" w:rsidRDefault="00F551EE">
      <w:pPr>
        <w:pStyle w:val="ConsPlusNormal"/>
        <w:ind w:firstLine="540"/>
        <w:jc w:val="both"/>
      </w:pPr>
      <w:r>
        <w:t>аппаратуры спутниковой навигации (если обязательность ее установки предусмотрена законодательством Российской Федерации) &lt;3&gt;;</w:t>
      </w:r>
    </w:p>
    <w:p w:rsidR="00F551EE" w:rsidRDefault="00F551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51EE" w:rsidRDefault="00F551EE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2" w:history="1">
        <w:r>
          <w:rPr>
            <w:color w:val="0000FF"/>
          </w:rPr>
          <w:t>Пункты 1</w:t>
        </w:r>
      </w:hyperlink>
      <w:r>
        <w:t xml:space="preserve"> и </w:t>
      </w:r>
      <w:hyperlink r:id="rId13" w:history="1">
        <w:r>
          <w:rPr>
            <w:color w:val="0000FF"/>
          </w:rPr>
          <w:t>2</w:t>
        </w:r>
      </w:hyperlink>
      <w:r>
        <w:t xml:space="preserve"> постановления Правительства Российской Федерации от 25 августа 2008 г. N 641 "Об оснащении транспортных, технических средств и систем аппаратурой спутниковой навигации ГЛОНАСС или ГЛОНАСС/GPS" (Собрание законодательства Российской Федерации, 2008, N 35, ст. 4037; 2016, N 47, ст. 6640).</w:t>
      </w:r>
    </w:p>
    <w:p w:rsidR="00F551EE" w:rsidRDefault="00F551EE">
      <w:pPr>
        <w:pStyle w:val="ConsPlusNormal"/>
        <w:jc w:val="both"/>
      </w:pPr>
    </w:p>
    <w:p w:rsidR="00F551EE" w:rsidRDefault="00F551EE">
      <w:pPr>
        <w:pStyle w:val="ConsPlusNormal"/>
        <w:ind w:firstLine="540"/>
        <w:jc w:val="both"/>
      </w:pPr>
      <w:r>
        <w:t>устройства (системы) вызова экстренных оперативных служб (если обязательность его (ее) установки предусмотрена законодательством Российской Федерации) &lt;4&gt;;</w:t>
      </w:r>
    </w:p>
    <w:p w:rsidR="00F551EE" w:rsidRDefault="00F551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51EE" w:rsidRDefault="00F551EE">
      <w:pPr>
        <w:pStyle w:val="ConsPlusNormal"/>
        <w:spacing w:before="220"/>
        <w:ind w:firstLine="540"/>
        <w:jc w:val="both"/>
      </w:pPr>
      <w:proofErr w:type="gramStart"/>
      <w:r>
        <w:t xml:space="preserve">&lt;4&gt; </w:t>
      </w:r>
      <w:hyperlink r:id="rId14" w:history="1">
        <w:r>
          <w:rPr>
            <w:color w:val="0000FF"/>
          </w:rPr>
          <w:t>Пункт 13.1</w:t>
        </w:r>
      </w:hyperlink>
      <w:r>
        <w:t xml:space="preserve"> технического регламента Таможенного союза "О безопасности колесных транспортных средств" (TP ТС 018/2011), принятому решением Комиссии Таможенного союза от 9 декабря 2011 г. N 877 (Официальный сайт Комиссии Таможенного союза http://www.tsouz.ru/, 15 декабря 2011 г.; является обязательным для Российской Федерации со 2 августа 2014 г. в соответствии с </w:t>
      </w:r>
      <w:hyperlink r:id="rId15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 от</w:t>
      </w:r>
      <w:proofErr w:type="gramEnd"/>
      <w:r>
        <w:t xml:space="preserve"> </w:t>
      </w:r>
      <w:proofErr w:type="gramStart"/>
      <w:r>
        <w:t xml:space="preserve">29 мая 2014 г. (официальный сайт Евразийской экономической комиссии http://www.eurasiancommissing.org, 5 июня 2014); ратифицированным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3 октября 2014 г. N 279-ФЗ "О ратификации Договора о Евразийском экономическом союзе" (Собрание законодательства Российской Федерации, 2014, N 40, ст. 5310)) (далее - Технический регламент).</w:t>
      </w:r>
      <w:proofErr w:type="gramEnd"/>
    </w:p>
    <w:p w:rsidR="00F551EE" w:rsidRDefault="00F551EE">
      <w:pPr>
        <w:pStyle w:val="ConsPlusNormal"/>
        <w:jc w:val="both"/>
      </w:pPr>
    </w:p>
    <w:p w:rsidR="00F551EE" w:rsidRDefault="00F551EE">
      <w:pPr>
        <w:pStyle w:val="ConsPlusNormal"/>
        <w:ind w:firstLine="540"/>
        <w:jc w:val="both"/>
      </w:pPr>
      <w:r>
        <w:t xml:space="preserve">2) исправность </w:t>
      </w:r>
      <w:proofErr w:type="gramStart"/>
      <w:r>
        <w:t>предусмотренных</w:t>
      </w:r>
      <w:proofErr w:type="gramEnd"/>
      <w:r>
        <w:t xml:space="preserve"> конструкцией транспортного средства:</w:t>
      </w:r>
    </w:p>
    <w:p w:rsidR="00F551EE" w:rsidRDefault="00F551EE">
      <w:pPr>
        <w:pStyle w:val="ConsPlusNormal"/>
        <w:spacing w:before="220"/>
        <w:ind w:firstLine="540"/>
        <w:jc w:val="both"/>
      </w:pPr>
      <w:r>
        <w:t>замков дверей кузова или кабины, запоров бортов грузовой платформы, запоров горловин цистерн и пробок топливных баков (кроме транспортных средств городского наземного электрического транспорта);</w:t>
      </w:r>
    </w:p>
    <w:p w:rsidR="00F551EE" w:rsidRDefault="00F551EE">
      <w:pPr>
        <w:pStyle w:val="ConsPlusNormal"/>
        <w:spacing w:before="220"/>
        <w:ind w:firstLine="540"/>
        <w:jc w:val="both"/>
      </w:pPr>
      <w:r>
        <w:t>устройств фиксации подушки и спинки водительского сиденья;</w:t>
      </w:r>
    </w:p>
    <w:p w:rsidR="00F551EE" w:rsidRDefault="00F551EE">
      <w:pPr>
        <w:pStyle w:val="ConsPlusNormal"/>
        <w:spacing w:before="220"/>
        <w:ind w:firstLine="540"/>
        <w:jc w:val="both"/>
      </w:pPr>
      <w:r>
        <w:t>устройств обогрева и обдува стекол;</w:t>
      </w:r>
    </w:p>
    <w:p w:rsidR="00F551EE" w:rsidRDefault="00F551EE">
      <w:pPr>
        <w:pStyle w:val="ConsPlusNormal"/>
        <w:spacing w:before="220"/>
        <w:ind w:firstLine="540"/>
        <w:jc w:val="both"/>
      </w:pPr>
      <w:r>
        <w:t>тягово-сцепного устройства, а также страховочных тросов (цепей);</w:t>
      </w:r>
    </w:p>
    <w:p w:rsidR="00F551EE" w:rsidRDefault="00F551EE">
      <w:pPr>
        <w:pStyle w:val="ConsPlusNormal"/>
        <w:spacing w:before="220"/>
        <w:ind w:firstLine="540"/>
        <w:jc w:val="both"/>
      </w:pPr>
      <w:r>
        <w:t>держателя запасного колеса (кроме трамвая);</w:t>
      </w:r>
    </w:p>
    <w:p w:rsidR="00F551EE" w:rsidRDefault="00F551EE">
      <w:pPr>
        <w:pStyle w:val="ConsPlusNormal"/>
        <w:spacing w:before="220"/>
        <w:ind w:firstLine="540"/>
        <w:jc w:val="both"/>
      </w:pPr>
      <w:r>
        <w:t>фиксаторов транспортного положения опор полуприцепов (при наличии);</w:t>
      </w:r>
    </w:p>
    <w:p w:rsidR="00F551EE" w:rsidRDefault="00F551EE">
      <w:pPr>
        <w:pStyle w:val="ConsPlusNormal"/>
        <w:spacing w:before="220"/>
        <w:ind w:firstLine="540"/>
        <w:jc w:val="both"/>
      </w:pPr>
      <w:r>
        <w:t xml:space="preserve">3) наличие </w:t>
      </w:r>
      <w:proofErr w:type="gramStart"/>
      <w:r>
        <w:t>предусмотренных</w:t>
      </w:r>
      <w:proofErr w:type="gramEnd"/>
      <w:r>
        <w:t xml:space="preserve"> конструкцией транспортного средства:</w:t>
      </w:r>
    </w:p>
    <w:p w:rsidR="00F551EE" w:rsidRDefault="00F551EE">
      <w:pPr>
        <w:pStyle w:val="ConsPlusNormal"/>
        <w:spacing w:before="220"/>
        <w:ind w:firstLine="540"/>
        <w:jc w:val="both"/>
      </w:pPr>
      <w:r>
        <w:t>индикации на щитке приборов, свидетельствующей о неисправности, влияющей на безопасность дорожного движения (проверяется при работающем двигателе);</w:t>
      </w:r>
    </w:p>
    <w:p w:rsidR="00F551EE" w:rsidRDefault="00F551EE">
      <w:pPr>
        <w:pStyle w:val="ConsPlusNormal"/>
        <w:spacing w:before="220"/>
        <w:ind w:firstLine="540"/>
        <w:jc w:val="both"/>
      </w:pPr>
      <w:r>
        <w:t>стекол и обзорности с места водителя;</w:t>
      </w:r>
    </w:p>
    <w:p w:rsidR="00F551EE" w:rsidRDefault="00F551EE">
      <w:pPr>
        <w:pStyle w:val="ConsPlusNormal"/>
        <w:spacing w:before="220"/>
        <w:ind w:firstLine="540"/>
        <w:jc w:val="both"/>
      </w:pPr>
      <w:r>
        <w:t>зеркал заднего вида и их креплений;</w:t>
      </w:r>
    </w:p>
    <w:p w:rsidR="00F551EE" w:rsidRDefault="00F551EE">
      <w:pPr>
        <w:pStyle w:val="ConsPlusNormal"/>
        <w:spacing w:before="220"/>
        <w:ind w:firstLine="540"/>
        <w:jc w:val="both"/>
      </w:pPr>
      <w:r>
        <w:t>заднего защитного устройства, грязезащитных фартуков и брызговиков;</w:t>
      </w:r>
    </w:p>
    <w:p w:rsidR="00F551EE" w:rsidRDefault="00F551EE">
      <w:pPr>
        <w:pStyle w:val="ConsPlusNormal"/>
        <w:spacing w:before="220"/>
        <w:ind w:firstLine="540"/>
        <w:jc w:val="both"/>
      </w:pPr>
      <w:r>
        <w:t>ремней безопасности (если обязательность их установки предусмотрена законодательством Российской Федерации) &lt;5&gt; и (или) подголовников сидений и их работоспособность;</w:t>
      </w:r>
    </w:p>
    <w:p w:rsidR="00F551EE" w:rsidRDefault="00F551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51EE" w:rsidRDefault="00F551EE">
      <w:pPr>
        <w:pStyle w:val="ConsPlusNormal"/>
        <w:spacing w:before="220"/>
        <w:ind w:firstLine="540"/>
        <w:jc w:val="both"/>
      </w:pPr>
      <w:r>
        <w:lastRenderedPageBreak/>
        <w:t xml:space="preserve">&lt;5&gt; </w:t>
      </w:r>
      <w:hyperlink r:id="rId17" w:history="1">
        <w:r>
          <w:rPr>
            <w:color w:val="0000FF"/>
          </w:rPr>
          <w:t>Приложение N 2</w:t>
        </w:r>
      </w:hyperlink>
      <w:r>
        <w:t xml:space="preserve"> к Техническому регламенту.</w:t>
      </w:r>
    </w:p>
    <w:p w:rsidR="00F551EE" w:rsidRDefault="00F551EE">
      <w:pPr>
        <w:pStyle w:val="ConsPlusNormal"/>
        <w:jc w:val="both"/>
      </w:pPr>
    </w:p>
    <w:p w:rsidR="00F551EE" w:rsidRDefault="00F551EE">
      <w:pPr>
        <w:pStyle w:val="ConsPlusNormal"/>
        <w:ind w:firstLine="540"/>
        <w:jc w:val="both"/>
      </w:pPr>
      <w:r>
        <w:t>4) работоспособность в установленном режиме:</w:t>
      </w:r>
    </w:p>
    <w:p w:rsidR="00F551EE" w:rsidRDefault="00F551EE">
      <w:pPr>
        <w:pStyle w:val="ConsPlusNormal"/>
        <w:spacing w:before="220"/>
        <w:ind w:firstLine="540"/>
        <w:jc w:val="both"/>
      </w:pPr>
      <w:r>
        <w:t>стеклоочистителей;</w:t>
      </w:r>
    </w:p>
    <w:p w:rsidR="00F551EE" w:rsidRDefault="00F551EE">
      <w:pPr>
        <w:pStyle w:val="ConsPlusNormal"/>
        <w:spacing w:before="220"/>
        <w:ind w:firstLine="540"/>
        <w:jc w:val="both"/>
      </w:pPr>
      <w:r>
        <w:t>внешних световых приборов и световозвращателей;</w:t>
      </w:r>
    </w:p>
    <w:p w:rsidR="00F551EE" w:rsidRDefault="00F551EE">
      <w:pPr>
        <w:pStyle w:val="ConsPlusNormal"/>
        <w:spacing w:before="220"/>
        <w:ind w:firstLine="540"/>
        <w:jc w:val="both"/>
      </w:pPr>
      <w:r>
        <w:t>5) герметичность систем, узлов и агрегатов транспортного средства, в том числе системы выпуска отработавших газов, а также дополнительно устанавливаемых на транспортное средство гидравлических устройств;</w:t>
      </w:r>
    </w:p>
    <w:p w:rsidR="00F551EE" w:rsidRDefault="00F551EE">
      <w:pPr>
        <w:pStyle w:val="ConsPlusNormal"/>
        <w:spacing w:before="220"/>
        <w:ind w:firstLine="540"/>
        <w:jc w:val="both"/>
      </w:pPr>
      <w:r>
        <w:t>6) укомплектованность медицинской аптечкой, огнетушителем и противооткатными упорами (для грузовых транспортных средств и автобусов);</w:t>
      </w:r>
    </w:p>
    <w:p w:rsidR="00F551EE" w:rsidRDefault="00F551EE">
      <w:pPr>
        <w:pStyle w:val="ConsPlusNormal"/>
        <w:spacing w:before="220"/>
        <w:ind w:firstLine="540"/>
        <w:jc w:val="both"/>
      </w:pPr>
      <w:r>
        <w:t xml:space="preserve">7) отсутствие внесенных в конструкцию транспортного средства изменений в нарушение установленного порядка, предусмотренного </w:t>
      </w:r>
      <w:hyperlink r:id="rId18" w:history="1">
        <w:r>
          <w:rPr>
            <w:color w:val="0000FF"/>
          </w:rPr>
          <w:t>разделом 4 главы V</w:t>
        </w:r>
      </w:hyperlink>
      <w:r>
        <w:t xml:space="preserve"> Технического регламента, в части газобаллонного оборудования, кузовов транспортных средств, бортов грузовой платформы (для грузовых транспортных средств), дополнительных сидений, фар ближнего света, противотуманных фар (при наличии) и дневных ходовых огней (при наличии);</w:t>
      </w:r>
    </w:p>
    <w:p w:rsidR="00F551EE" w:rsidRDefault="00F551EE">
      <w:pPr>
        <w:pStyle w:val="ConsPlusNormal"/>
        <w:spacing w:before="220"/>
        <w:ind w:firstLine="540"/>
        <w:jc w:val="both"/>
      </w:pPr>
      <w:proofErr w:type="gramStart"/>
      <w:r>
        <w:t>8) отсутствие установленных на передней части транспортного средства световых приборов с огнями красного цвета или световозвращающих приспособлений красного цвета, на транспортном средстве устройств для подачи специальных световых или звуковых сигналов (за исключением охранной сигнализации) без соответствующего разрешения, а также незаконно нанесенных на наружные поверхности транспортного средства специальных цветографических схем автомобилей оперативных служб;</w:t>
      </w:r>
      <w:proofErr w:type="gramEnd"/>
    </w:p>
    <w:p w:rsidR="00F551EE" w:rsidRDefault="00F551EE">
      <w:pPr>
        <w:pStyle w:val="ConsPlusNormal"/>
        <w:spacing w:before="220"/>
        <w:ind w:firstLine="540"/>
        <w:jc w:val="both"/>
      </w:pPr>
      <w:r>
        <w:t>9) дополнительно для транспортных средств городского наземного электрического транспорта:</w:t>
      </w:r>
    </w:p>
    <w:p w:rsidR="00F551EE" w:rsidRDefault="00F551EE">
      <w:pPr>
        <w:pStyle w:val="ConsPlusNormal"/>
        <w:spacing w:before="220"/>
        <w:ind w:firstLine="540"/>
        <w:jc w:val="both"/>
      </w:pPr>
      <w:r>
        <w:t>состояние и крепление колесных пар и трамвайных тележек (для трамвая);</w:t>
      </w:r>
    </w:p>
    <w:p w:rsidR="00F551EE" w:rsidRDefault="00F551EE">
      <w:pPr>
        <w:pStyle w:val="ConsPlusNormal"/>
        <w:spacing w:before="220"/>
        <w:ind w:firstLine="540"/>
        <w:jc w:val="both"/>
      </w:pPr>
      <w:r>
        <w:t>соответствие силы тока утечки предельно допустимым значениям;</w:t>
      </w:r>
    </w:p>
    <w:p w:rsidR="00F551EE" w:rsidRDefault="00F551EE">
      <w:pPr>
        <w:pStyle w:val="ConsPlusNormal"/>
        <w:spacing w:before="220"/>
        <w:ind w:firstLine="540"/>
        <w:jc w:val="both"/>
      </w:pPr>
      <w:r>
        <w:t>исправность токоприемников, тяговых двигателей, вспомогательных электрических машин, пускорегулирующей и защитной аппаратуры, вспомогательных цепей, аккумуляторной батареи, контрольно-измерительных приборов электрического оборудования.</w:t>
      </w:r>
    </w:p>
    <w:p w:rsidR="00F551EE" w:rsidRDefault="00F551EE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8. </w:t>
      </w:r>
      <w:proofErr w:type="gramStart"/>
      <w:r>
        <w:t xml:space="preserve">При наличии конструктивных особенностей специальных и специализированных транспортных средств, а также при проведении контроля в отношении троллейбусов дополнительно должны быть проверены работоспособность, состояние и исправность систем, механизмов, агрегатов, узлов и деталей, характерных для данных типов транспортных средств, влияющих на безопасность движения транспортных средств, на соответствие требованиям, установленным </w:t>
      </w:r>
      <w:hyperlink r:id="rId19" w:history="1">
        <w:r>
          <w:rPr>
            <w:color w:val="0000FF"/>
          </w:rPr>
          <w:t>пунктами 14</w:t>
        </w:r>
      </w:hyperlink>
      <w:r>
        <w:t xml:space="preserve"> - </w:t>
      </w:r>
      <w:hyperlink r:id="rId20" w:history="1">
        <w:r>
          <w:rPr>
            <w:color w:val="0000FF"/>
          </w:rPr>
          <w:t>27</w:t>
        </w:r>
      </w:hyperlink>
      <w:r>
        <w:t xml:space="preserve"> приложения N 8 к Техническому регламенту.</w:t>
      </w:r>
      <w:proofErr w:type="gramEnd"/>
    </w:p>
    <w:p w:rsidR="00F551EE" w:rsidRDefault="00F551EE">
      <w:pPr>
        <w:pStyle w:val="ConsPlusNormal"/>
        <w:spacing w:before="220"/>
        <w:ind w:firstLine="540"/>
        <w:jc w:val="both"/>
      </w:pPr>
      <w:r>
        <w:t>9. Субъект транспортной деятельности должен вести учет прохождения контроля. Журнал регистрации результатов контроля технического состояния транспортных средств (далее - журнал) должен содержать следующие реквизиты:</w:t>
      </w:r>
    </w:p>
    <w:p w:rsidR="00F551EE" w:rsidRDefault="00F551EE">
      <w:pPr>
        <w:pStyle w:val="ConsPlusNormal"/>
        <w:spacing w:before="220"/>
        <w:ind w:firstLine="540"/>
        <w:jc w:val="both"/>
      </w:pPr>
      <w:r>
        <w:t>1) наименование марки, модели транспортного средства;</w:t>
      </w:r>
    </w:p>
    <w:p w:rsidR="00F551EE" w:rsidRDefault="00F551EE">
      <w:pPr>
        <w:pStyle w:val="ConsPlusNormal"/>
        <w:spacing w:before="220"/>
        <w:ind w:firstLine="540"/>
        <w:jc w:val="both"/>
      </w:pPr>
      <w:r>
        <w:t>2) государственный регистрационный номер транспортного средства;</w:t>
      </w:r>
    </w:p>
    <w:p w:rsidR="00F551EE" w:rsidRDefault="00F551EE">
      <w:pPr>
        <w:pStyle w:val="ConsPlusNormal"/>
        <w:spacing w:before="220"/>
        <w:ind w:firstLine="540"/>
        <w:jc w:val="both"/>
      </w:pPr>
      <w:r>
        <w:t>3) фамилию, имя, отчество (при наличии) лица, проводившего контроль;</w:t>
      </w:r>
    </w:p>
    <w:p w:rsidR="00F551EE" w:rsidRDefault="00F551EE">
      <w:pPr>
        <w:pStyle w:val="ConsPlusNormal"/>
        <w:spacing w:before="220"/>
        <w:ind w:firstLine="540"/>
        <w:jc w:val="both"/>
      </w:pPr>
      <w:r>
        <w:t>4) дату, время проведения контроля;</w:t>
      </w:r>
    </w:p>
    <w:p w:rsidR="00F551EE" w:rsidRDefault="00F551EE">
      <w:pPr>
        <w:pStyle w:val="ConsPlusNormal"/>
        <w:spacing w:before="220"/>
        <w:ind w:firstLine="540"/>
        <w:jc w:val="both"/>
      </w:pPr>
      <w:r>
        <w:lastRenderedPageBreak/>
        <w:t>5) показания одометра (полные километры пробега) при проведении контроля;</w:t>
      </w:r>
    </w:p>
    <w:p w:rsidR="00F551EE" w:rsidRDefault="00F551EE">
      <w:pPr>
        <w:pStyle w:val="ConsPlusNormal"/>
        <w:spacing w:before="220"/>
        <w:ind w:firstLine="540"/>
        <w:jc w:val="both"/>
      </w:pPr>
      <w:r>
        <w:t>6) отметку о прохождении контроля (</w:t>
      </w:r>
      <w:proofErr w:type="gramStart"/>
      <w:r>
        <w:t>пройден</w:t>
      </w:r>
      <w:proofErr w:type="gramEnd"/>
      <w:r>
        <w:t xml:space="preserve"> или не пройден);</w:t>
      </w:r>
    </w:p>
    <w:p w:rsidR="00F551EE" w:rsidRDefault="00F551EE">
      <w:pPr>
        <w:pStyle w:val="ConsPlusNormal"/>
        <w:spacing w:before="220"/>
        <w:ind w:firstLine="540"/>
        <w:jc w:val="both"/>
      </w:pPr>
      <w:r>
        <w:t>7) подпись лица, проводившего контроль.</w:t>
      </w:r>
    </w:p>
    <w:p w:rsidR="00F551EE" w:rsidRDefault="00F551EE">
      <w:pPr>
        <w:pStyle w:val="ConsPlusNormal"/>
        <w:spacing w:before="220"/>
        <w:ind w:firstLine="540"/>
        <w:jc w:val="both"/>
      </w:pPr>
      <w:r>
        <w:t>10. Журнал ведется на бумажном или электронном носителе.</w:t>
      </w:r>
    </w:p>
    <w:p w:rsidR="00F551EE" w:rsidRDefault="00F551EE">
      <w:pPr>
        <w:pStyle w:val="ConsPlusNormal"/>
        <w:spacing w:before="220"/>
        <w:ind w:firstLine="540"/>
        <w:jc w:val="both"/>
      </w:pPr>
      <w:r>
        <w:t xml:space="preserve">11. В случае ведения </w:t>
      </w:r>
      <w:proofErr w:type="gramStart"/>
      <w:r>
        <w:t>журнала</w:t>
      </w:r>
      <w:proofErr w:type="gramEnd"/>
      <w:r>
        <w:t xml:space="preserve"> в электронном виде внесенные в него сведения заверяются электронной подписью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&lt;6&gt;.</w:t>
      </w:r>
    </w:p>
    <w:p w:rsidR="00F551EE" w:rsidRDefault="00F551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51EE" w:rsidRDefault="00F551EE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2011, N 15, ст. 2036; 2020, N 24, ст. 3755.</w:t>
      </w:r>
    </w:p>
    <w:p w:rsidR="00F551EE" w:rsidRDefault="00F551EE">
      <w:pPr>
        <w:pStyle w:val="ConsPlusNormal"/>
        <w:jc w:val="both"/>
      </w:pPr>
    </w:p>
    <w:p w:rsidR="00F551EE" w:rsidRDefault="00F551EE">
      <w:pPr>
        <w:pStyle w:val="ConsPlusNormal"/>
        <w:ind w:firstLine="540"/>
        <w:jc w:val="both"/>
      </w:pPr>
      <w:r>
        <w:t>12. В журнале допускается размещение дополнительных реквизитов, учитывающих особенности осуществления перевозок автомобильным транспортом или городским наземным электрическим транспортом.</w:t>
      </w:r>
    </w:p>
    <w:p w:rsidR="00F551EE" w:rsidRDefault="00F551EE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В случае если при контроле не выявлены несоответствия требованиям, перечисленным в </w:t>
      </w:r>
      <w:hyperlink w:anchor="P41" w:history="1">
        <w:r>
          <w:rPr>
            <w:color w:val="0000FF"/>
          </w:rPr>
          <w:t>пунктах 7</w:t>
        </w:r>
      </w:hyperlink>
      <w:r>
        <w:t xml:space="preserve"> - </w:t>
      </w:r>
      <w:hyperlink w:anchor="P88" w:history="1">
        <w:r>
          <w:rPr>
            <w:color w:val="0000FF"/>
          </w:rPr>
          <w:t>8</w:t>
        </w:r>
      </w:hyperlink>
      <w:r>
        <w:t xml:space="preserve"> настоящего Порядка, сведения о пройденном контроле указываются в путевом листе в соответствии с порядком заполнения путевых листов, утверждаемым Минтрансом России в соответствии с </w:t>
      </w:r>
      <w:hyperlink r:id="rId22" w:history="1">
        <w:r>
          <w:rPr>
            <w:color w:val="0000FF"/>
          </w:rPr>
          <w:t>частью 1 статьи 6</w:t>
        </w:r>
      </w:hyperlink>
      <w:r>
        <w:t xml:space="preserve"> Федерального закона от 8 ноября 2007 г. N 259-ФЗ "Устав автомобильного транспорта и городского наземного электрического транспорта" &lt;7&gt;, на</w:t>
      </w:r>
      <w:proofErr w:type="gramEnd"/>
      <w:r>
        <w:t xml:space="preserve"> </w:t>
      </w:r>
      <w:proofErr w:type="gramStart"/>
      <w:r>
        <w:t>основании</w:t>
      </w:r>
      <w:proofErr w:type="gramEnd"/>
      <w:r>
        <w:t xml:space="preserve"> записи о пройденном контроле, внесенной в журнал.</w:t>
      </w:r>
    </w:p>
    <w:p w:rsidR="00F551EE" w:rsidRDefault="00F551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551EE" w:rsidRDefault="00F551EE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2007, N 46, ст. 5555.</w:t>
      </w:r>
    </w:p>
    <w:p w:rsidR="00F551EE" w:rsidRDefault="00F551EE">
      <w:pPr>
        <w:pStyle w:val="ConsPlusNormal"/>
        <w:jc w:val="both"/>
      </w:pPr>
    </w:p>
    <w:p w:rsidR="00F551EE" w:rsidRDefault="00F551EE">
      <w:pPr>
        <w:pStyle w:val="ConsPlusNormal"/>
        <w:jc w:val="both"/>
      </w:pPr>
    </w:p>
    <w:p w:rsidR="00F551EE" w:rsidRDefault="00F551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03EF" w:rsidRDefault="00F903EF">
      <w:bookmarkStart w:id="3" w:name="_GoBack"/>
      <w:bookmarkEnd w:id="3"/>
    </w:p>
    <w:sectPr w:rsidR="00F903EF" w:rsidSect="0036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EE"/>
    <w:rsid w:val="00F551EE"/>
    <w:rsid w:val="00F9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5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51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51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51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28D9D1709779879949A66158EC97515E1B4A38D522A880BE457E3822AB5109FC831F71062F113A161BFEE0CA9F65CBBB33DC268sClAF" TargetMode="External"/><Relationship Id="rId13" Type="http://schemas.openxmlformats.org/officeDocument/2006/relationships/hyperlink" Target="consultantplus://offline/ref=64528D9D1709779879949A66158EC97514E9B6A18E552A880BE457E3822AB5109FC831F41361FA46F22EBEB248FEE55CBEB33FC574C9793Bs8l7F" TargetMode="External"/><Relationship Id="rId18" Type="http://schemas.openxmlformats.org/officeDocument/2006/relationships/hyperlink" Target="consultantplus://offline/ref=64528D9D1709779879949A66158EC97515EBB6A687572A880BE457E3822AB5109FC831F41361FE41F82EBEB248FEE55CBEB33FC574C9793Bs8l7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4528D9D1709779879949A66158EC97515EEB6A488522A880BE457E3822AB5108DC869F81363E447F73BE8E30EsAlAF" TargetMode="External"/><Relationship Id="rId7" Type="http://schemas.openxmlformats.org/officeDocument/2006/relationships/hyperlink" Target="consultantplus://offline/ref=64528D9D1709779879949A66158EC97515E1B5A08D522A880BE457E3822AB5109FC831FD156AAE16B470E7E30EB5E85BA2AF3FC0s6lBF" TargetMode="External"/><Relationship Id="rId12" Type="http://schemas.openxmlformats.org/officeDocument/2006/relationships/hyperlink" Target="consultantplus://offline/ref=64528D9D1709779879949A66158EC97514E9B6A18E552A880BE457E3822AB5109FC831F41361FA47F52EBEB248FEE55CBEB33FC574C9793Bs8l7F" TargetMode="External"/><Relationship Id="rId17" Type="http://schemas.openxmlformats.org/officeDocument/2006/relationships/hyperlink" Target="consultantplus://offline/ref=64528D9D1709779879949A66158EC97515EBB6A687572A880BE457E3822AB5109FC831F41361F243F92EBEB248FEE55CBEB33FC574C9793Bs8l7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4528D9D1709779879949A66158EC97517EFB8A78F552A880BE457E3822AB5108DC869F81363E447F73BE8E30EsAlAF" TargetMode="External"/><Relationship Id="rId20" Type="http://schemas.openxmlformats.org/officeDocument/2006/relationships/hyperlink" Target="consultantplus://offline/ref=64528D9D1709779879949A66158EC97515EBB6A687572A880BE457E3822AB5109FC831F41362FC40F92EBEB248FEE55CBEB33FC574C9793Bs8l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528D9D1709779879949A66158EC97515E1B4A38D522A880BE457E3822AB5109FC831F71268F113A161BFEE0CA9F65CBBB33DC268sClAF" TargetMode="External"/><Relationship Id="rId11" Type="http://schemas.openxmlformats.org/officeDocument/2006/relationships/hyperlink" Target="consultantplus://offline/ref=64528D9D1709779879949A66158EC97515E1B4A38D522A880BE457E3822AB5109FC831F71362F113A161BFEE0CA9F65CBBB33DC268sClA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4528D9D1709779879949A66158EC97515EEB3A28B512A880BE457E3822AB5108DC869F81363E447F73BE8E30EsAlA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4528D9D1709779879949A66158EC97515E1B4A38D522A880BE457E3822AB5109FC831F71062F113A161BFEE0CA9F65CBBB33DC268sClAF" TargetMode="External"/><Relationship Id="rId19" Type="http://schemas.openxmlformats.org/officeDocument/2006/relationships/hyperlink" Target="consultantplus://offline/ref=64528D9D1709779879949A66158EC97515EBB6A687572A880BE457E3822AB5109FC831F41362FF43F22EBEB248FEE55CBEB33FC574C9793Bs8l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528D9D1709779879949A66158EC97515E1B4A38D522A880BE457E3822AB5109FC831F71062F113A161BFEE0CA9F65CBBB33DC268sClAF" TargetMode="External"/><Relationship Id="rId14" Type="http://schemas.openxmlformats.org/officeDocument/2006/relationships/hyperlink" Target="consultantplus://offline/ref=64528D9D1709779879949A66158EC97515EBB6A687572A880BE457E3822AB5109FC831F41567F113A161BFEE0CA9F65CBBB33DC268sClAF" TargetMode="External"/><Relationship Id="rId22" Type="http://schemas.openxmlformats.org/officeDocument/2006/relationships/hyperlink" Target="consultantplus://offline/ref=64528D9D1709779879949A66158EC97515EEB6A48C5C2A880BE457E3822AB5109FC831F41361FA42F42EBEB248FEE55CBEB33FC574C9793Bs8l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Алтухов Николай Алексеевич</dc:creator>
  <cp:lastModifiedBy>Алтухов Николай Алексеевич</cp:lastModifiedBy>
  <cp:revision>1</cp:revision>
  <dcterms:created xsi:type="dcterms:W3CDTF">2021-07-02T05:37:00Z</dcterms:created>
  <dcterms:modified xsi:type="dcterms:W3CDTF">2021-07-02T05:38:00Z</dcterms:modified>
</cp:coreProperties>
</file>