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01" w:rsidRDefault="00BA6191" w:rsidP="00BA6191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464F4FAC" wp14:editId="6BB05724">
            <wp:extent cx="10334625" cy="7105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85501" w:rsidSect="00BA619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7"/>
    <w:rsid w:val="005F3D95"/>
    <w:rsid w:val="00685501"/>
    <w:rsid w:val="007C14EC"/>
    <w:rsid w:val="00895B26"/>
    <w:rsid w:val="00A77625"/>
    <w:rsid w:val="00BA6191"/>
    <w:rsid w:val="00B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erinaEV\AppData\Local\&#1050;&#1077;&#1081;&#1089;&#1080;&#1089;&#1090;&#1077;&#1084;&#1089;\&#1041;&#1102;&#1076;&#1078;&#1077;&#1090;-&#1050;&#1057;\ReportManager\sqr_info_isp_budg_4.htm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Струтура</a:t>
            </a:r>
            <a:r>
              <a:rPr lang="ru-RU" baseline="0"/>
              <a:t> и</a:t>
            </a:r>
            <a:r>
              <a:rPr lang="ru-RU"/>
              <a:t>сполнения бюджета в разрезе муниципальных программ</a:t>
            </a:r>
            <a:endParaRPr lang="ru-RU" baseline="0"/>
          </a:p>
          <a:p>
            <a:pPr>
              <a:defRPr/>
            </a:pPr>
            <a:r>
              <a:rPr lang="ru-RU" baseline="0"/>
              <a:t>на 01.05.2015 г., </a:t>
            </a:r>
            <a:r>
              <a:rPr lang="ru-RU" sz="1400" b="0" i="1" baseline="0"/>
              <a:t>(тыс.руб.)</a:t>
            </a:r>
            <a:endParaRPr lang="ru-RU" sz="1400" b="0" i="1"/>
          </a:p>
        </c:rich>
      </c:tx>
      <c:layout>
        <c:manualLayout>
          <c:xMode val="edge"/>
          <c:yMode val="edge"/>
          <c:x val="0.11069748539497079"/>
          <c:y val="2.5022341376228777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469894475481064E-2"/>
          <c:y val="8.8852532843582216E-2"/>
          <c:w val="0.56280258263806404"/>
          <c:h val="0.6943864389605455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"Охрана окружающей среды Ханкайского муниципального района" на 2014-2018 годы</c:v>
                </c:pt>
                <c:pt idx="3">
                  <c:v>    Муниципальная программа "Развитие физической культуры  и спорта  на 2014-2018 годы"</c:v>
                </c:pt>
                <c:pt idx="4">
                  <c:v>    Муниципальная программа "Развитие сельских территорий Ханкайского муниципального района на 2014-2018 годы"</c:v>
                </c:pt>
                <c:pt idx="5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6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бюджета'!$B$8:$B$16</c:f>
            </c:numRef>
          </c:val>
        </c:ser>
        <c:ser>
          <c:idx val="1"/>
          <c:order val="1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"Охрана окружающей среды Ханкайского муниципального района" на 2014-2018 годы</c:v>
                </c:pt>
                <c:pt idx="3">
                  <c:v>    Муниципальная программа "Развитие физической культуры  и спорта  на 2014-2018 годы"</c:v>
                </c:pt>
                <c:pt idx="4">
                  <c:v>    Муниципальная программа "Развитие сельских территорий Ханкайского муниципального района на 2014-2018 годы"</c:v>
                </c:pt>
                <c:pt idx="5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6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бюджета'!$C$8:$C$16</c:f>
            </c:numRef>
          </c:val>
        </c:ser>
        <c:ser>
          <c:idx val="2"/>
          <c:order val="2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"Охрана окружающей среды Ханкайского муниципального района" на 2014-2018 годы</c:v>
                </c:pt>
                <c:pt idx="3">
                  <c:v>    Муниципальная программа "Развитие физической культуры  и спорта  на 2014-2018 годы"</c:v>
                </c:pt>
                <c:pt idx="4">
                  <c:v>    Муниципальная программа "Развитие сельских территорий Ханкайского муниципального района на 2014-2018 годы"</c:v>
                </c:pt>
                <c:pt idx="5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6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бюджета'!$D$8:$D$16</c:f>
            </c:numRef>
          </c:val>
        </c:ser>
        <c:ser>
          <c:idx val="3"/>
          <c:order val="3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"Охрана окружающей среды Ханкайского муниципального района" на 2014-2018 годы</c:v>
                </c:pt>
                <c:pt idx="3">
                  <c:v>    Муниципальная программа "Развитие физической культуры  и спорта  на 2014-2018 годы"</c:v>
                </c:pt>
                <c:pt idx="4">
                  <c:v>    Муниципальная программа "Развитие сельских территорий Ханкайского муниципального района на 2014-2018 годы"</c:v>
                </c:pt>
                <c:pt idx="5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6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бюджета'!$E$8:$E$16</c:f>
            </c:numRef>
          </c:val>
        </c:ser>
        <c:ser>
          <c:idx val="4"/>
          <c:order val="4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"Охрана окружающей среды Ханкайского муниципального района" на 2014-2018 годы</c:v>
                </c:pt>
                <c:pt idx="3">
                  <c:v>    Муниципальная программа "Развитие физической культуры  и спорта  на 2014-2018 годы"</c:v>
                </c:pt>
                <c:pt idx="4">
                  <c:v>    Муниципальная программа "Развитие сельских территорий Ханкайского муниципального района на 2014-2018 годы"</c:v>
                </c:pt>
                <c:pt idx="5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6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бюджета'!$F$8:$F$16</c:f>
            </c:numRef>
          </c:val>
        </c:ser>
        <c:ser>
          <c:idx val="5"/>
          <c:order val="5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3399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5.3382991930477984E-2"/>
                  <c:y val="1.80149599262558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96 164</a:t>
                    </a:r>
                    <a:r>
                      <a:rPr lang="ru-RU"/>
                      <a:t>,92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56114214773432E-2"/>
                  <c:y val="-2.32350312779266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6 272</a:t>
                    </a:r>
                    <a:r>
                      <a:rPr lang="ru-RU"/>
                      <a:t>,82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73246430788334E-3"/>
                  <c:y val="-1.07238605898122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,53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243947858472998E-3"/>
                  <c:y val="-1.07238605898123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264</a:t>
                    </a:r>
                    <a:r>
                      <a:rPr lang="ru-RU"/>
                      <a:t>,04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902545003103657E-3"/>
                  <c:y val="-3.57462019660411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4 612</a:t>
                    </a:r>
                    <a:r>
                      <a:rPr lang="ru-RU"/>
                      <a:t>,07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9317194289261328E-3"/>
                  <c:y val="-6.553394655066590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4 952</a:t>
                    </a:r>
                    <a:r>
                      <a:rPr lang="ru-RU"/>
                      <a:t>,</a:t>
                    </a:r>
                    <a:r>
                      <a:rPr lang="en-US"/>
                      <a:t>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317194289261328E-3"/>
                  <c:y val="-3.57462019660411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3 096</a:t>
                    </a:r>
                    <a:r>
                      <a:rPr lang="ru-RU"/>
                      <a:t>,36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2073246430788334E-3"/>
                  <c:y val="-1.60857908847185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ru-RU"/>
                      <a:t>,60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9317194289261328E-3"/>
                  <c:y val="-5.36193029490616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12 818</a:t>
                    </a:r>
                    <a:r>
                      <a:rPr lang="ru-RU"/>
                      <a:t>,18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культуры Ханкайского муниципального района" на 2014-2018 годы</c:v>
                </c:pt>
                <c:pt idx="2">
                  <c:v>    Муниципальная программа "Охрана окружающей среды Ханкайского муниципального района" на 2014-2018 годы</c:v>
                </c:pt>
                <c:pt idx="3">
                  <c:v>    Муниципальная программа "Развитие физической культуры  и спорта  на 2014-2018 годы"</c:v>
                </c:pt>
                <c:pt idx="4">
                  <c:v>    Муниципальная программа "Развитие сельских территорий Ханкайского муниципального района на 2014-2018 годы"</c:v>
                </c:pt>
                <c:pt idx="5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6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7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бюджета'!$G$8:$G$16</c:f>
              <c:numCache>
                <c:formatCode>#,##0.00</c:formatCode>
                <c:ptCount val="9"/>
                <c:pt idx="0">
                  <c:v>96164915.439999998</c:v>
                </c:pt>
                <c:pt idx="1">
                  <c:v>6272821.3600000003</c:v>
                </c:pt>
                <c:pt idx="2">
                  <c:v>70525.02</c:v>
                </c:pt>
                <c:pt idx="3">
                  <c:v>264037.77</c:v>
                </c:pt>
                <c:pt idx="4">
                  <c:v>4612072.4000000004</c:v>
                </c:pt>
                <c:pt idx="5">
                  <c:v>4952093.59</c:v>
                </c:pt>
                <c:pt idx="6">
                  <c:v>3096361.93</c:v>
                </c:pt>
                <c:pt idx="7">
                  <c:v>43597</c:v>
                </c:pt>
                <c:pt idx="8">
                  <c:v>12818181.939999999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7203968"/>
        <c:axId val="141404416"/>
        <c:axId val="66865344"/>
      </c:bar3DChart>
      <c:catAx>
        <c:axId val="107203968"/>
        <c:scaling>
          <c:orientation val="minMax"/>
        </c:scaling>
        <c:delete val="1"/>
        <c:axPos val="b"/>
        <c:majorTickMark val="out"/>
        <c:minorTickMark val="none"/>
        <c:tickLblPos val="nextTo"/>
        <c:crossAx val="141404416"/>
        <c:crosses val="autoZero"/>
        <c:auto val="1"/>
        <c:lblAlgn val="ctr"/>
        <c:lblOffset val="100"/>
        <c:noMultiLvlLbl val="0"/>
      </c:catAx>
      <c:valAx>
        <c:axId val="141404416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07203968"/>
        <c:crosses val="autoZero"/>
        <c:crossBetween val="between"/>
      </c:valAx>
      <c:serAx>
        <c:axId val="66865344"/>
        <c:scaling>
          <c:orientation val="minMax"/>
        </c:scaling>
        <c:delete val="1"/>
        <c:axPos val="b"/>
        <c:majorTickMark val="out"/>
        <c:minorTickMark val="none"/>
        <c:tickLblPos val="nextTo"/>
        <c:crossAx val="141404416"/>
        <c:crosses val="autoZero"/>
      </c:serAx>
    </c:plotArea>
    <c:legend>
      <c:legendPos val="r"/>
      <c:layout>
        <c:manualLayout>
          <c:xMode val="edge"/>
          <c:yMode val="edge"/>
          <c:x val="0.608254568737567"/>
          <c:y val="0.16928655365800457"/>
          <c:w val="0.37661860009434311"/>
          <c:h val="0.7419290283084587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6</cp:revision>
  <dcterms:created xsi:type="dcterms:W3CDTF">2015-05-20T01:19:00Z</dcterms:created>
  <dcterms:modified xsi:type="dcterms:W3CDTF">2015-05-20T02:56:00Z</dcterms:modified>
</cp:coreProperties>
</file>