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0B56A5" w:rsidP="0006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91870" w:rsidP="0018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>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</w:t>
      </w:r>
      <w:r w:rsidR="00033169" w:rsidRPr="00033169">
        <w:rPr>
          <w:rFonts w:ascii="Times New Roman" w:hAnsi="Times New Roman" w:cs="Times New Roman"/>
          <w:sz w:val="28"/>
          <w:szCs w:val="28"/>
        </w:rPr>
        <w:t>а</w:t>
      </w:r>
      <w:r w:rsidR="00033169" w:rsidRPr="00033169">
        <w:rPr>
          <w:rFonts w:ascii="Times New Roman" w:hAnsi="Times New Roman" w:cs="Times New Roman"/>
          <w:sz w:val="28"/>
          <w:szCs w:val="28"/>
        </w:rPr>
        <w:t>нии уведомлени</w:t>
      </w:r>
      <w:r w:rsidR="00FD05F9">
        <w:rPr>
          <w:rFonts w:ascii="Times New Roman" w:hAnsi="Times New Roman" w:cs="Times New Roman"/>
          <w:sz w:val="28"/>
          <w:szCs w:val="28"/>
        </w:rPr>
        <w:t>й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39187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</w:t>
      </w:r>
      <w:r w:rsidR="00391870">
        <w:rPr>
          <w:rFonts w:ascii="Times New Roman" w:hAnsi="Times New Roman" w:cs="Times New Roman"/>
          <w:sz w:val="28"/>
          <w:szCs w:val="28"/>
        </w:rPr>
        <w:t>д</w:t>
      </w:r>
      <w:r w:rsidR="00391870">
        <w:rPr>
          <w:rFonts w:ascii="Times New Roman" w:hAnsi="Times New Roman" w:cs="Times New Roman"/>
          <w:sz w:val="28"/>
          <w:szCs w:val="28"/>
        </w:rPr>
        <w:t>жетного трансферта, имеющего целевое назначение, на 2018 год и план</w:t>
      </w:r>
      <w:r w:rsidR="00391870">
        <w:rPr>
          <w:rFonts w:ascii="Times New Roman" w:hAnsi="Times New Roman" w:cs="Times New Roman"/>
          <w:sz w:val="28"/>
          <w:szCs w:val="28"/>
        </w:rPr>
        <w:t>о</w:t>
      </w:r>
      <w:r w:rsidR="00391870">
        <w:rPr>
          <w:rFonts w:ascii="Times New Roman" w:hAnsi="Times New Roman" w:cs="Times New Roman"/>
          <w:sz w:val="28"/>
          <w:szCs w:val="28"/>
        </w:rPr>
        <w:t xml:space="preserve">вый период 2019 и 2020 годов Департамента финансов Приморского края от 17.07.2018 </w:t>
      </w:r>
      <w:r w:rsidR="000B56A5">
        <w:rPr>
          <w:rFonts w:ascii="Times New Roman" w:hAnsi="Times New Roman" w:cs="Times New Roman"/>
          <w:sz w:val="28"/>
          <w:szCs w:val="28"/>
        </w:rPr>
        <w:t>№</w:t>
      </w:r>
      <w:r w:rsidR="00060849">
        <w:rPr>
          <w:rFonts w:ascii="Times New Roman" w:hAnsi="Times New Roman" w:cs="Times New Roman"/>
          <w:sz w:val="28"/>
          <w:szCs w:val="28"/>
        </w:rPr>
        <w:t xml:space="preserve"> </w:t>
      </w:r>
      <w:r w:rsidR="00391870">
        <w:rPr>
          <w:rFonts w:ascii="Times New Roman" w:hAnsi="Times New Roman" w:cs="Times New Roman"/>
          <w:sz w:val="28"/>
          <w:szCs w:val="28"/>
        </w:rPr>
        <w:t>18</w:t>
      </w:r>
      <w:r w:rsidR="000B56A5">
        <w:rPr>
          <w:rFonts w:ascii="Times New Roman" w:hAnsi="Times New Roman" w:cs="Times New Roman"/>
          <w:sz w:val="28"/>
          <w:szCs w:val="28"/>
        </w:rPr>
        <w:t>/</w:t>
      </w:r>
      <w:r w:rsidR="00391870">
        <w:rPr>
          <w:rFonts w:ascii="Times New Roman" w:hAnsi="Times New Roman" w:cs="Times New Roman"/>
          <w:sz w:val="28"/>
          <w:szCs w:val="28"/>
        </w:rPr>
        <w:t>6</w:t>
      </w:r>
      <w:r w:rsidR="000B56A5">
        <w:rPr>
          <w:rFonts w:ascii="Times New Roman" w:hAnsi="Times New Roman" w:cs="Times New Roman"/>
          <w:sz w:val="28"/>
          <w:szCs w:val="28"/>
        </w:rPr>
        <w:t>2</w:t>
      </w:r>
      <w:r w:rsidR="00FD05F9">
        <w:rPr>
          <w:rFonts w:ascii="Times New Roman" w:hAnsi="Times New Roman" w:cs="Times New Roman"/>
          <w:sz w:val="28"/>
          <w:szCs w:val="28"/>
        </w:rPr>
        <w:t xml:space="preserve"> и от 26.0</w:t>
      </w:r>
      <w:bookmarkStart w:id="0" w:name="_GoBack"/>
      <w:bookmarkEnd w:id="0"/>
      <w:r w:rsidR="00FD05F9">
        <w:rPr>
          <w:rFonts w:ascii="Times New Roman" w:hAnsi="Times New Roman" w:cs="Times New Roman"/>
          <w:sz w:val="28"/>
          <w:szCs w:val="28"/>
        </w:rPr>
        <w:t>7.2018 № 42/6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391870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391870" w:rsidRDefault="00895D0E" w:rsidP="0039187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r w:rsidR="00391870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расходам: </w:t>
      </w:r>
      <w:r w:rsidR="00391870">
        <w:rPr>
          <w:rFonts w:ascii="Times New Roman" w:hAnsi="Times New Roman" w:cs="Times New Roman"/>
          <w:sz w:val="28"/>
          <w:szCs w:val="28"/>
        </w:rPr>
        <w:t>п</w:t>
      </w:r>
      <w:r w:rsidR="00391870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391870">
        <w:rPr>
          <w:rFonts w:ascii="Times New Roman" w:hAnsi="Times New Roman" w:cs="Times New Roman"/>
          <w:sz w:val="28"/>
          <w:szCs w:val="28"/>
        </w:rPr>
        <w:t>2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391870">
        <w:rPr>
          <w:rFonts w:ascii="Times New Roman" w:hAnsi="Times New Roman" w:cs="Times New Roman"/>
          <w:sz w:val="28"/>
          <w:szCs w:val="28"/>
        </w:rPr>
        <w:t>Администрация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="0039187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91870" w:rsidRPr="00381DA6">
        <w:rPr>
          <w:rFonts w:ascii="Times New Roman" w:hAnsi="Times New Roman" w:cs="Times New Roman"/>
          <w:sz w:val="28"/>
          <w:szCs w:val="28"/>
        </w:rPr>
        <w:t>»,</w:t>
      </w:r>
      <w:r w:rsidR="00391870">
        <w:rPr>
          <w:rFonts w:ascii="Times New Roman" w:hAnsi="Times New Roman" w:cs="Times New Roman"/>
          <w:sz w:val="28"/>
          <w:szCs w:val="28"/>
        </w:rPr>
        <w:t xml:space="preserve"> по разделу 0400 «Национальная экономика», по подразделу 0405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391870">
        <w:rPr>
          <w:rFonts w:ascii="Times New Roman" w:hAnsi="Times New Roman" w:cs="Times New Roman"/>
          <w:sz w:val="28"/>
          <w:szCs w:val="28"/>
        </w:rPr>
        <w:t>«Сельское хозяйство и рыболовство», по целевой статье 9909993040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391870" w:rsidRPr="00391870">
        <w:rPr>
          <w:rFonts w:ascii="Times New Roman" w:hAnsi="Times New Roman" w:cs="Times New Roman"/>
          <w:sz w:val="28"/>
          <w:szCs w:val="28"/>
        </w:rPr>
        <w:t>Су</w:t>
      </w:r>
      <w:r w:rsidR="00391870" w:rsidRPr="00391870">
        <w:rPr>
          <w:rFonts w:ascii="Times New Roman" w:hAnsi="Times New Roman" w:cs="Times New Roman"/>
          <w:sz w:val="28"/>
          <w:szCs w:val="28"/>
        </w:rPr>
        <w:t>б</w:t>
      </w:r>
      <w:r w:rsidR="00391870" w:rsidRPr="00391870">
        <w:rPr>
          <w:rFonts w:ascii="Times New Roman" w:hAnsi="Times New Roman" w:cs="Times New Roman"/>
          <w:sz w:val="28"/>
          <w:szCs w:val="28"/>
        </w:rPr>
        <w:t>венции на организацию проведения мероприятий по предупреждению и ликвидации болезней животных, их лечению, отлову и содержанию бе</w:t>
      </w:r>
      <w:r w:rsidR="00391870" w:rsidRPr="00391870">
        <w:rPr>
          <w:rFonts w:ascii="Times New Roman" w:hAnsi="Times New Roman" w:cs="Times New Roman"/>
          <w:sz w:val="28"/>
          <w:szCs w:val="28"/>
        </w:rPr>
        <w:t>з</w:t>
      </w:r>
      <w:r w:rsidR="00391870" w:rsidRPr="00391870">
        <w:rPr>
          <w:rFonts w:ascii="Times New Roman" w:hAnsi="Times New Roman" w:cs="Times New Roman"/>
          <w:sz w:val="28"/>
          <w:szCs w:val="28"/>
        </w:rPr>
        <w:t>надзорных животных, защите населения от болезней, общих для человека и животных</w:t>
      </w:r>
      <w:r w:rsidR="00391870" w:rsidRPr="00381DA6">
        <w:rPr>
          <w:rFonts w:ascii="Times New Roman" w:hAnsi="Times New Roman" w:cs="Times New Roman"/>
          <w:sz w:val="28"/>
          <w:szCs w:val="28"/>
        </w:rPr>
        <w:t>»</w:t>
      </w:r>
      <w:r w:rsidR="00391870"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3М 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91870">
        <w:rPr>
          <w:rFonts w:ascii="Times New Roman" w:hAnsi="Times New Roman" w:cs="Times New Roman"/>
          <w:sz w:val="28"/>
          <w:szCs w:val="28"/>
        </w:rPr>
        <w:t>99 205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ру</w:t>
      </w:r>
      <w:r w:rsidR="00391870" w:rsidRPr="00381DA6">
        <w:rPr>
          <w:rFonts w:ascii="Times New Roman" w:hAnsi="Times New Roman" w:cs="Times New Roman"/>
          <w:sz w:val="28"/>
          <w:szCs w:val="28"/>
        </w:rPr>
        <w:t>б</w:t>
      </w:r>
      <w:r w:rsidR="00391870" w:rsidRPr="00381DA6">
        <w:rPr>
          <w:rFonts w:ascii="Times New Roman" w:hAnsi="Times New Roman" w:cs="Times New Roman"/>
          <w:sz w:val="28"/>
          <w:szCs w:val="28"/>
        </w:rPr>
        <w:t>лей.</w:t>
      </w:r>
    </w:p>
    <w:p w:rsidR="00FD05F9" w:rsidRDefault="00FD05F9" w:rsidP="0039187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Увеличить</w:t>
      </w:r>
      <w:r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  <w:r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по разделу 0700 «Образование», по подразделу 0701</w:t>
      </w:r>
      <w:r w:rsidRPr="0038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«Дошкольное образование», по целевой статье 0111292020</w:t>
      </w:r>
      <w:r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Pr="00FD05F9">
        <w:rPr>
          <w:rFonts w:ascii="Times New Roman" w:hAnsi="Times New Roman" w:cs="Times New Roman"/>
          <w:sz w:val="28"/>
          <w:szCs w:val="28"/>
        </w:rPr>
        <w:t>Субс</w:t>
      </w:r>
      <w:r w:rsidRPr="00FD05F9">
        <w:rPr>
          <w:rFonts w:ascii="Times New Roman" w:hAnsi="Times New Roman" w:cs="Times New Roman"/>
          <w:sz w:val="28"/>
          <w:szCs w:val="28"/>
        </w:rPr>
        <w:t>и</w:t>
      </w:r>
      <w:r w:rsidRPr="00FD05F9">
        <w:rPr>
          <w:rFonts w:ascii="Times New Roman" w:hAnsi="Times New Roman" w:cs="Times New Roman"/>
          <w:sz w:val="28"/>
          <w:szCs w:val="28"/>
        </w:rPr>
        <w:t>дии из краевого бюджета бюджетам муниципальных образований Примо</w:t>
      </w:r>
      <w:r w:rsidRPr="00FD05F9">
        <w:rPr>
          <w:rFonts w:ascii="Times New Roman" w:hAnsi="Times New Roman" w:cs="Times New Roman"/>
          <w:sz w:val="28"/>
          <w:szCs w:val="28"/>
        </w:rPr>
        <w:t>р</w:t>
      </w:r>
      <w:r w:rsidRPr="00FD05F9">
        <w:rPr>
          <w:rFonts w:ascii="Times New Roman" w:hAnsi="Times New Roman" w:cs="Times New Roman"/>
          <w:sz w:val="28"/>
          <w:szCs w:val="28"/>
        </w:rPr>
        <w:t>ского края на капитальный ремонт зданий и благоустройство территорий муниципальных образовательных организаций, оказывающих услуги д</w:t>
      </w:r>
      <w:r w:rsidRPr="00FD05F9">
        <w:rPr>
          <w:rFonts w:ascii="Times New Roman" w:hAnsi="Times New Roman" w:cs="Times New Roman"/>
          <w:sz w:val="28"/>
          <w:szCs w:val="28"/>
        </w:rPr>
        <w:t>о</w:t>
      </w:r>
      <w:r w:rsidRPr="00FD05F9">
        <w:rPr>
          <w:rFonts w:ascii="Times New Roman" w:hAnsi="Times New Roman" w:cs="Times New Roman"/>
          <w:sz w:val="28"/>
          <w:szCs w:val="28"/>
        </w:rPr>
        <w:lastRenderedPageBreak/>
        <w:t>школьного образования</w:t>
      </w:r>
      <w:r w:rsidRPr="00381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35М </w:t>
      </w:r>
      <w:r w:rsidRPr="00381DA6">
        <w:rPr>
          <w:rFonts w:ascii="Times New Roman" w:hAnsi="Times New Roman" w:cs="Times New Roman"/>
          <w:sz w:val="28"/>
          <w:szCs w:val="28"/>
        </w:rPr>
        <w:t>на су</w:t>
      </w:r>
      <w:r w:rsidRPr="00381DA6">
        <w:rPr>
          <w:rFonts w:ascii="Times New Roman" w:hAnsi="Times New Roman" w:cs="Times New Roman"/>
          <w:sz w:val="28"/>
          <w:szCs w:val="28"/>
        </w:rPr>
        <w:t>м</w:t>
      </w:r>
      <w:r w:rsidRPr="00381DA6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1 228 224,00</w:t>
      </w:r>
      <w:proofErr w:type="gramEnd"/>
      <w:r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704422"/>
    <w:rsid w:val="00710A04"/>
    <w:rsid w:val="00711D42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CCE"/>
    <w:rsid w:val="00866363"/>
    <w:rsid w:val="00876661"/>
    <w:rsid w:val="00876C18"/>
    <w:rsid w:val="00895D0E"/>
    <w:rsid w:val="008960CF"/>
    <w:rsid w:val="0089787D"/>
    <w:rsid w:val="008D4EF4"/>
    <w:rsid w:val="00903B0F"/>
    <w:rsid w:val="0091736E"/>
    <w:rsid w:val="00921BA4"/>
    <w:rsid w:val="0093504B"/>
    <w:rsid w:val="00947F14"/>
    <w:rsid w:val="009639CA"/>
    <w:rsid w:val="009717B0"/>
    <w:rsid w:val="00972721"/>
    <w:rsid w:val="00974F8C"/>
    <w:rsid w:val="009B4F4F"/>
    <w:rsid w:val="009B5B5C"/>
    <w:rsid w:val="00A06CCC"/>
    <w:rsid w:val="00A16AFC"/>
    <w:rsid w:val="00A20B35"/>
    <w:rsid w:val="00A22EC9"/>
    <w:rsid w:val="00A41AD4"/>
    <w:rsid w:val="00A66F91"/>
    <w:rsid w:val="00A71CCB"/>
    <w:rsid w:val="00A763C0"/>
    <w:rsid w:val="00A76B2E"/>
    <w:rsid w:val="00AB1AFA"/>
    <w:rsid w:val="00AC10A2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5C8C-45A4-4FD2-8FB6-1C521CC6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28</cp:revision>
  <cp:lastPrinted>2018-08-02T01:49:00Z</cp:lastPrinted>
  <dcterms:created xsi:type="dcterms:W3CDTF">2016-04-04T06:02:00Z</dcterms:created>
  <dcterms:modified xsi:type="dcterms:W3CDTF">2018-08-02T01:53:00Z</dcterms:modified>
</cp:coreProperties>
</file>