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7951" w14:textId="77777777" w:rsidR="00B86509" w:rsidRDefault="00B86509" w:rsidP="001274F5">
      <w:pPr>
        <w:jc w:val="center"/>
        <w:rPr>
          <w:b/>
          <w:sz w:val="16"/>
          <w:szCs w:val="16"/>
        </w:rPr>
      </w:pPr>
    </w:p>
    <w:p w14:paraId="0B83FC62" w14:textId="77777777" w:rsidR="00B86509" w:rsidRPr="005C1F27" w:rsidRDefault="00B86509" w:rsidP="001274F5">
      <w:pPr>
        <w:jc w:val="center"/>
        <w:rPr>
          <w:b/>
          <w:sz w:val="16"/>
          <w:szCs w:val="16"/>
        </w:rPr>
      </w:pPr>
    </w:p>
    <w:p w14:paraId="6175FAEA" w14:textId="2D83D413" w:rsidR="001274F5" w:rsidRPr="007956B1" w:rsidRDefault="001D72D5" w:rsidP="0012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4C7FD3">
        <w:rPr>
          <w:b/>
          <w:sz w:val="28"/>
          <w:szCs w:val="28"/>
        </w:rPr>
        <w:t xml:space="preserve"> № </w:t>
      </w:r>
      <w:r w:rsidR="006D339B">
        <w:rPr>
          <w:b/>
          <w:sz w:val="28"/>
          <w:szCs w:val="28"/>
        </w:rPr>
        <w:t>0</w:t>
      </w:r>
      <w:r w:rsidR="00E443D4">
        <w:rPr>
          <w:b/>
          <w:sz w:val="28"/>
          <w:szCs w:val="28"/>
        </w:rPr>
        <w:t>6</w:t>
      </w:r>
    </w:p>
    <w:p w14:paraId="4050624D" w14:textId="66489AD0" w:rsidR="009162AC" w:rsidRDefault="001274F5" w:rsidP="001274F5">
      <w:pPr>
        <w:jc w:val="center"/>
        <w:rPr>
          <w:b/>
          <w:sz w:val="28"/>
          <w:szCs w:val="28"/>
        </w:rPr>
      </w:pPr>
      <w:r w:rsidRPr="00F716C3">
        <w:rPr>
          <w:b/>
          <w:sz w:val="28"/>
          <w:szCs w:val="28"/>
        </w:rPr>
        <w:t xml:space="preserve">о результатах </w:t>
      </w:r>
      <w:r w:rsidR="002A7C1F">
        <w:rPr>
          <w:b/>
          <w:sz w:val="28"/>
          <w:szCs w:val="28"/>
        </w:rPr>
        <w:t xml:space="preserve">контрольного мероприятия </w:t>
      </w:r>
      <w:r w:rsidR="006C343C" w:rsidRPr="006C343C">
        <w:rPr>
          <w:b/>
          <w:sz w:val="28"/>
          <w:szCs w:val="28"/>
        </w:rPr>
        <w:t>«</w:t>
      </w:r>
      <w:bookmarkStart w:id="0" w:name="_Hlk126844920"/>
      <w:r w:rsidR="006C343C" w:rsidRPr="006C343C">
        <w:rPr>
          <w:b/>
          <w:sz w:val="28"/>
          <w:szCs w:val="28"/>
        </w:rPr>
        <w:t>Проверка порядка предоставления и расходования субсидий, направленных из бюджета Ханкайского муниципального округа муниципальному унитарному предприятию «</w:t>
      </w:r>
      <w:bookmarkStart w:id="1" w:name="_Hlk126832165"/>
      <w:r w:rsidR="006C343C" w:rsidRPr="006C343C">
        <w:rPr>
          <w:b/>
          <w:sz w:val="28"/>
          <w:szCs w:val="28"/>
        </w:rPr>
        <w:t>Жилищно-коммунальное хозяйство</w:t>
      </w:r>
      <w:bookmarkEnd w:id="1"/>
      <w:r w:rsidR="006C343C" w:rsidRPr="006C343C">
        <w:rPr>
          <w:b/>
          <w:sz w:val="28"/>
          <w:szCs w:val="28"/>
        </w:rPr>
        <w:t>» за 2022 год</w:t>
      </w:r>
      <w:bookmarkEnd w:id="0"/>
    </w:p>
    <w:p w14:paraId="0A67F83B" w14:textId="77777777" w:rsidR="006C343C" w:rsidRDefault="006C343C" w:rsidP="001274F5">
      <w:pPr>
        <w:jc w:val="center"/>
        <w:rPr>
          <w:b/>
          <w:sz w:val="28"/>
          <w:szCs w:val="28"/>
        </w:rPr>
      </w:pPr>
    </w:p>
    <w:p w14:paraId="66D80707" w14:textId="43649BC7" w:rsidR="009162AC" w:rsidRPr="009162AC" w:rsidRDefault="001D72D5" w:rsidP="009162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49DA">
        <w:rPr>
          <w:sz w:val="28"/>
          <w:szCs w:val="28"/>
        </w:rPr>
        <w:t>6</w:t>
      </w:r>
      <w:r>
        <w:rPr>
          <w:sz w:val="28"/>
          <w:szCs w:val="28"/>
        </w:rPr>
        <w:t>.03.2023</w:t>
      </w:r>
      <w:r w:rsidR="002A7C1F">
        <w:rPr>
          <w:sz w:val="28"/>
          <w:szCs w:val="28"/>
        </w:rPr>
        <w:t xml:space="preserve">                                                                                </w:t>
      </w:r>
      <w:r w:rsidR="009162AC" w:rsidRPr="009162AC">
        <w:rPr>
          <w:sz w:val="28"/>
          <w:szCs w:val="28"/>
        </w:rPr>
        <w:t xml:space="preserve">с. Камень-Рыболов                                                                      </w:t>
      </w:r>
    </w:p>
    <w:p w14:paraId="08927655" w14:textId="77777777" w:rsidR="001274F5" w:rsidRDefault="001274F5" w:rsidP="001274F5">
      <w:pPr>
        <w:ind w:firstLine="708"/>
        <w:jc w:val="both"/>
        <w:rPr>
          <w:b/>
          <w:bCs/>
          <w:sz w:val="28"/>
          <w:szCs w:val="28"/>
        </w:rPr>
      </w:pPr>
    </w:p>
    <w:p w14:paraId="75D245BC" w14:textId="77777777" w:rsidR="002A7C1F" w:rsidRDefault="002A7C1F" w:rsidP="001274F5">
      <w:pPr>
        <w:ind w:firstLine="708"/>
        <w:jc w:val="both"/>
        <w:rPr>
          <w:b/>
          <w:bCs/>
          <w:sz w:val="28"/>
          <w:szCs w:val="28"/>
        </w:rPr>
      </w:pPr>
    </w:p>
    <w:p w14:paraId="1ECA399B" w14:textId="3B1A2AA4" w:rsidR="002A7C1F" w:rsidRDefault="002A7C1F" w:rsidP="001274F5">
      <w:pPr>
        <w:ind w:firstLine="708"/>
        <w:jc w:val="both"/>
        <w:rPr>
          <w:b/>
          <w:bCs/>
          <w:sz w:val="28"/>
          <w:szCs w:val="28"/>
        </w:rPr>
      </w:pPr>
      <w:r w:rsidRPr="002A7C1F">
        <w:rPr>
          <w:bCs/>
          <w:sz w:val="28"/>
          <w:szCs w:val="28"/>
        </w:rPr>
        <w:t xml:space="preserve">Председателем Контрольно-счетной палаты Ханкайского муниципального округа проведена </w:t>
      </w:r>
      <w:bookmarkStart w:id="2" w:name="_Hlk126851279"/>
      <w:r w:rsidR="003B5168">
        <w:rPr>
          <w:bCs/>
          <w:sz w:val="28"/>
          <w:szCs w:val="28"/>
        </w:rPr>
        <w:t>п</w:t>
      </w:r>
      <w:r w:rsidR="003B5168" w:rsidRPr="003B5168">
        <w:rPr>
          <w:bCs/>
          <w:sz w:val="28"/>
          <w:szCs w:val="28"/>
        </w:rPr>
        <w:t xml:space="preserve">роверка порядка предоставления и расходования субсидий, направленных из бюджета Ханкайского муниципального округа </w:t>
      </w:r>
      <w:bookmarkStart w:id="3" w:name="_Hlk126844940"/>
      <w:r w:rsidR="003B5168" w:rsidRPr="003B5168">
        <w:rPr>
          <w:bCs/>
          <w:sz w:val="28"/>
          <w:szCs w:val="28"/>
        </w:rPr>
        <w:t xml:space="preserve">муниципальному унитарному предприятию </w:t>
      </w:r>
      <w:bookmarkEnd w:id="2"/>
      <w:r w:rsidR="003B5168" w:rsidRPr="003B5168">
        <w:rPr>
          <w:bCs/>
          <w:sz w:val="28"/>
          <w:szCs w:val="28"/>
        </w:rPr>
        <w:t>«Жилищно-коммунальное хозяйство</w:t>
      </w:r>
      <w:bookmarkEnd w:id="3"/>
      <w:r w:rsidR="003B5168" w:rsidRPr="003B5168">
        <w:rPr>
          <w:bCs/>
          <w:sz w:val="28"/>
          <w:szCs w:val="28"/>
        </w:rPr>
        <w:t>» за 2022 год</w:t>
      </w:r>
      <w:r>
        <w:rPr>
          <w:bCs/>
          <w:sz w:val="28"/>
          <w:szCs w:val="28"/>
        </w:rPr>
        <w:t>.</w:t>
      </w:r>
    </w:p>
    <w:p w14:paraId="4F10AFF9" w14:textId="5CD47657" w:rsidR="001274F5" w:rsidRDefault="001274F5" w:rsidP="001274F5">
      <w:pPr>
        <w:ind w:firstLine="708"/>
        <w:jc w:val="both"/>
        <w:rPr>
          <w:sz w:val="28"/>
          <w:szCs w:val="28"/>
        </w:rPr>
      </w:pPr>
      <w:r w:rsidRPr="005C1F27">
        <w:rPr>
          <w:b/>
          <w:bCs/>
          <w:sz w:val="28"/>
          <w:szCs w:val="28"/>
        </w:rPr>
        <w:t>Основание проверки</w:t>
      </w:r>
      <w:r w:rsidRPr="005C1F27">
        <w:rPr>
          <w:sz w:val="28"/>
          <w:szCs w:val="28"/>
        </w:rPr>
        <w:t xml:space="preserve">: </w:t>
      </w:r>
      <w:r w:rsidR="006C343C">
        <w:rPr>
          <w:sz w:val="28"/>
          <w:szCs w:val="28"/>
        </w:rPr>
        <w:t xml:space="preserve">пункт 1 </w:t>
      </w:r>
      <w:r w:rsidRPr="005C1F27">
        <w:rPr>
          <w:sz w:val="28"/>
          <w:szCs w:val="28"/>
        </w:rPr>
        <w:t>план</w:t>
      </w:r>
      <w:r w:rsidR="006C343C">
        <w:rPr>
          <w:sz w:val="28"/>
          <w:szCs w:val="28"/>
        </w:rPr>
        <w:t>а</w:t>
      </w:r>
      <w:r w:rsidRPr="005C1F27">
        <w:rPr>
          <w:sz w:val="28"/>
          <w:szCs w:val="28"/>
        </w:rPr>
        <w:t xml:space="preserve"> </w:t>
      </w:r>
      <w:bookmarkStart w:id="4" w:name="_Hlk101431255"/>
      <w:r w:rsidRPr="005C1F27">
        <w:rPr>
          <w:sz w:val="28"/>
          <w:szCs w:val="28"/>
        </w:rPr>
        <w:t xml:space="preserve">работы Контрольно-счетной </w:t>
      </w:r>
      <w:r w:rsidR="00640DF3">
        <w:rPr>
          <w:sz w:val="28"/>
          <w:szCs w:val="28"/>
        </w:rPr>
        <w:t>палаты</w:t>
      </w:r>
      <w:r w:rsidRPr="005C1F27">
        <w:rPr>
          <w:sz w:val="28"/>
          <w:szCs w:val="28"/>
        </w:rPr>
        <w:t xml:space="preserve"> </w:t>
      </w:r>
      <w:r w:rsidR="00640DF3">
        <w:rPr>
          <w:sz w:val="28"/>
          <w:szCs w:val="28"/>
        </w:rPr>
        <w:t>Ханкайского</w:t>
      </w:r>
      <w:r w:rsidRPr="005C1F27">
        <w:rPr>
          <w:sz w:val="28"/>
          <w:szCs w:val="28"/>
        </w:rPr>
        <w:t xml:space="preserve"> муниципального </w:t>
      </w:r>
      <w:r w:rsidR="00640DF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6C343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End w:id="4"/>
      <w:r w:rsidR="006C343C">
        <w:rPr>
          <w:sz w:val="28"/>
          <w:szCs w:val="28"/>
        </w:rPr>
        <w:t>, утвержденный распоряжением Контрольно-счетной палаты Ханкайского муниципального округа от 27.12.2022 № 11-ра</w:t>
      </w:r>
      <w:r w:rsidRPr="005C1F27">
        <w:rPr>
          <w:sz w:val="28"/>
          <w:szCs w:val="28"/>
        </w:rPr>
        <w:t>.</w:t>
      </w:r>
    </w:p>
    <w:p w14:paraId="4E3BB3EE" w14:textId="77777777" w:rsidR="001274F5" w:rsidRPr="005C1F27" w:rsidRDefault="001274F5" w:rsidP="001274F5">
      <w:pPr>
        <w:ind w:firstLine="850"/>
        <w:jc w:val="both"/>
        <w:rPr>
          <w:sz w:val="16"/>
          <w:szCs w:val="16"/>
        </w:rPr>
      </w:pPr>
    </w:p>
    <w:p w14:paraId="678A79EB" w14:textId="77777777" w:rsidR="00E93C8E" w:rsidRDefault="00E93C8E" w:rsidP="00E93C8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B100F">
        <w:rPr>
          <w:b/>
          <w:sz w:val="28"/>
          <w:szCs w:val="28"/>
        </w:rPr>
        <w:t>Выводы по результатам проверки</w:t>
      </w:r>
    </w:p>
    <w:p w14:paraId="46742AED" w14:textId="77777777" w:rsidR="00E93C8E" w:rsidRDefault="00E93C8E" w:rsidP="00E93C8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34497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По результатам анализа </w:t>
      </w:r>
      <w:r w:rsidRPr="00834979">
        <w:rPr>
          <w:bCs/>
          <w:sz w:val="28"/>
          <w:szCs w:val="28"/>
        </w:rPr>
        <w:t>законности и обоснованности получения бюджетных</w:t>
      </w:r>
      <w:r>
        <w:rPr>
          <w:bCs/>
          <w:sz w:val="28"/>
          <w:szCs w:val="28"/>
        </w:rPr>
        <w:t xml:space="preserve"> </w:t>
      </w:r>
      <w:r w:rsidRPr="00834979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выявлено:</w:t>
      </w:r>
    </w:p>
    <w:p w14:paraId="719F97EB" w14:textId="77777777" w:rsidR="00E93C8E" w:rsidRPr="00344973" w:rsidRDefault="00E93C8E" w:rsidP="00E93C8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CA578A">
        <w:t xml:space="preserve"> </w:t>
      </w:r>
      <w:r w:rsidRPr="00CA578A">
        <w:rPr>
          <w:bCs/>
          <w:sz w:val="28"/>
          <w:szCs w:val="28"/>
        </w:rPr>
        <w:t>При проверке представленных МУП «ЖКХ» документов для получения субсидии в 2022 году, установлено, что все необходимые документы соответствуют требованиям порядка предоставления субсидий из бюджета Ханкайского муниципального округа на увеличение уставного фонда муниципальным унитарным предприятиям. Документы предоставлены в полном объеме. Нарушений не выявлено.</w:t>
      </w:r>
    </w:p>
    <w:p w14:paraId="1293F9B3" w14:textId="77777777" w:rsidR="00E93C8E" w:rsidRPr="00CA578A" w:rsidRDefault="00E93C8E" w:rsidP="00E93C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A578A">
        <w:rPr>
          <w:sz w:val="28"/>
          <w:szCs w:val="28"/>
        </w:rPr>
        <w:t xml:space="preserve">1.2. Согласно Порядка № 78-па расчет размера субсидии в целях возмещения части затрат, связанных с оказанием услуг по водоснабжению населения Ханкайского муниципального округа, производится на год согласно бухгалтерской отчетности, после сдачи годовой бухгалтерской отчетности производится корректировка расчета размера субсидии. Размер субсидии на </w:t>
      </w:r>
      <w:r w:rsidRPr="00CA578A">
        <w:rPr>
          <w:sz w:val="28"/>
          <w:szCs w:val="28"/>
        </w:rPr>
        <w:lastRenderedPageBreak/>
        <w:t>возмещение затрат, связанных с оказанием услуг по водоснабжению населения Ханкайского муниципального округа, определяется как сумма затрат, связанных с оказанием услуги, за минусом полученного дохода от оказания услуги.</w:t>
      </w:r>
    </w:p>
    <w:p w14:paraId="51DF0E16" w14:textId="77777777" w:rsidR="00E93C8E" w:rsidRPr="00CA578A" w:rsidRDefault="00E93C8E" w:rsidP="00E93C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A578A">
        <w:rPr>
          <w:sz w:val="28"/>
          <w:szCs w:val="28"/>
        </w:rPr>
        <w:t>Следует отметить, что в вышеуказанном Порядке допущено нарушение юридической техники. В соответствие с п. 2 Порядка № 78-па целью предоставления субсидии является финансовое обеспечение (возмещение) части затрат по электроэнергии в соответствии с заключенным соглашением между Администрацией Ханкайского муниципального округа и организацией в пределах лимитов бюджетных ассигнований. Однако п. 5.2.6 определено, что размер субсидии рассчитывается в целях возмещения части затрат, связанных с оказанием услуг по водоснабжению населения в целом. Согласно формуле расчета, установленной п. 5.3. Порядка № 78-па субсидия рассчитывается на возмещение убытков предприятия, связанных с услугами водоснабжения населения, а не возмещение части затрат по электроэнергии, что может привести к нецелевому использованию бюджетных средств.</w:t>
      </w:r>
    </w:p>
    <w:p w14:paraId="752C3576" w14:textId="77777777" w:rsidR="00E93C8E" w:rsidRPr="00CA578A" w:rsidRDefault="00E93C8E" w:rsidP="00E93C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5" w:name="_Hlk128749231"/>
      <w:r>
        <w:rPr>
          <w:sz w:val="28"/>
          <w:szCs w:val="28"/>
        </w:rPr>
        <w:t>С</w:t>
      </w:r>
      <w:r w:rsidRPr="00CA578A">
        <w:rPr>
          <w:sz w:val="28"/>
          <w:szCs w:val="28"/>
        </w:rPr>
        <w:t>оглашениями</w:t>
      </w:r>
      <w:r w:rsidRPr="00CA578A">
        <w:t xml:space="preserve"> </w:t>
      </w:r>
      <w:r w:rsidRPr="00CA578A">
        <w:rPr>
          <w:sz w:val="28"/>
          <w:szCs w:val="28"/>
        </w:rPr>
        <w:t>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</w:t>
      </w:r>
      <w:bookmarkEnd w:id="5"/>
      <w:r>
        <w:rPr>
          <w:sz w:val="28"/>
          <w:szCs w:val="28"/>
        </w:rPr>
        <w:t>,</w:t>
      </w:r>
      <w:r w:rsidRPr="00CA578A">
        <w:rPr>
          <w:sz w:val="28"/>
          <w:szCs w:val="28"/>
        </w:rPr>
        <w:t xml:space="preserve"> заключенными между Администрацией и МУП «ЖКХ» не </w:t>
      </w:r>
      <w:bookmarkStart w:id="6" w:name="_Hlk128749312"/>
      <w:r w:rsidRPr="00CA578A">
        <w:rPr>
          <w:sz w:val="28"/>
          <w:szCs w:val="28"/>
        </w:rPr>
        <w:t>определены показатели, которые позволяют определить результативность и эффективность использования выделенных бюджетных средств</w:t>
      </w:r>
      <w:bookmarkEnd w:id="6"/>
      <w:r w:rsidRPr="00CA578A">
        <w:rPr>
          <w:sz w:val="28"/>
          <w:szCs w:val="28"/>
        </w:rPr>
        <w:t>, в соответствии со статьей 34 Бюджетного кодекса Российской Федерации, соответственно отчеты о достижении значений показателей результативности носят формальный характер.</w:t>
      </w:r>
    </w:p>
    <w:p w14:paraId="3C0BD70B" w14:textId="77777777" w:rsidR="00E93C8E" w:rsidRDefault="00E93C8E" w:rsidP="00E93C8E">
      <w:pPr>
        <w:tabs>
          <w:tab w:val="left" w:pos="0"/>
        </w:tabs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CA578A">
        <w:rPr>
          <w:rFonts w:eastAsiaTheme="minorHAnsi"/>
          <w:sz w:val="28"/>
          <w:szCs w:val="28"/>
          <w:lang w:eastAsia="en-US"/>
        </w:rPr>
        <w:t xml:space="preserve">  расчете размера предоставляемой субсидии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 предоставленный согласно Приложению 1 Постановления Администрации Ханкайского муниципального </w:t>
      </w:r>
      <w:bookmarkStart w:id="7" w:name="_Hlk128749392"/>
      <w:r w:rsidRPr="00CA578A">
        <w:rPr>
          <w:rFonts w:eastAsiaTheme="minorHAnsi"/>
          <w:sz w:val="28"/>
          <w:szCs w:val="28"/>
          <w:lang w:eastAsia="en-US"/>
        </w:rPr>
        <w:t xml:space="preserve">округа от 28.01.2021 № 79-па </w:t>
      </w:r>
      <w:bookmarkEnd w:id="7"/>
      <w:r w:rsidRPr="00CA578A">
        <w:rPr>
          <w:rFonts w:eastAsiaTheme="minorHAnsi"/>
          <w:sz w:val="28"/>
          <w:szCs w:val="28"/>
          <w:lang w:eastAsia="en-US"/>
        </w:rPr>
        <w:t xml:space="preserve">вместо наименования статей и затрат для выполнения работы (услуги) содержится само наименование  работы (услуги) и окончательная сумма, т.е. </w:t>
      </w:r>
      <w:r w:rsidRPr="00CA578A">
        <w:rPr>
          <w:rFonts w:eastAsiaTheme="minorHAnsi"/>
          <w:sz w:val="28"/>
          <w:szCs w:val="28"/>
          <w:lang w:eastAsia="en-US"/>
        </w:rPr>
        <w:lastRenderedPageBreak/>
        <w:t>расчет размера субсидии отсутствует. Все требуемые документы предоставлены в полном объеме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D459F7B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По результатам анализа целевого использования бюджетных средств выявлено:</w:t>
      </w:r>
    </w:p>
    <w:p w14:paraId="63040D65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2.1.</w:t>
      </w:r>
      <w:r w:rsidRPr="00C22CCD">
        <w:t xml:space="preserve"> </w:t>
      </w:r>
      <w:r w:rsidRPr="00C22CCD">
        <w:rPr>
          <w:rFonts w:eastAsiaTheme="minorHAnsi"/>
          <w:sz w:val="28"/>
          <w:szCs w:val="28"/>
          <w:lang w:eastAsia="en-US"/>
        </w:rPr>
        <w:t>В результате проверки субсидий на увеличение уставного фонда нецелевого использования бюджетных средств не установлено.</w:t>
      </w:r>
    </w:p>
    <w:p w14:paraId="2D82C21F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2.2. </w:t>
      </w:r>
      <w:r w:rsidRPr="00C22CCD">
        <w:rPr>
          <w:rFonts w:eastAsiaTheme="minorHAnsi"/>
          <w:sz w:val="28"/>
          <w:szCs w:val="28"/>
          <w:lang w:eastAsia="en-US"/>
        </w:rPr>
        <w:t>В результате проверки субсидии на возмещение части затрат по электроэнергии, связанных с оказанием услуг по водоснабжению населения нецелевого использования бюджетных средств не установлено.</w:t>
      </w:r>
    </w:p>
    <w:p w14:paraId="0C5DDE5B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C22CCD">
        <w:rPr>
          <w:rFonts w:eastAsiaTheme="minorHAnsi"/>
          <w:sz w:val="28"/>
          <w:szCs w:val="28"/>
          <w:lang w:eastAsia="en-US"/>
        </w:rPr>
        <w:t>Остаток неиспользованной субсидии на конец периода составил 200 268,51 рублей, что подтверждается актом-сверки взаиморасчетов № 31273 от 16.01.2023 г. Данные остатки средств были учтены при возмещение затрат по электроэнергии за январь 2023 года (Письмо МУП «ЖКХ» от 26.01.2023 № б/н).</w:t>
      </w:r>
    </w:p>
    <w:p w14:paraId="0827FA4A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2.3.</w:t>
      </w:r>
      <w:r w:rsidRPr="00C22CCD">
        <w:t xml:space="preserve"> </w:t>
      </w:r>
      <w:r w:rsidRPr="00C22CCD">
        <w:rPr>
          <w:rFonts w:eastAsiaTheme="minorHAnsi"/>
          <w:sz w:val="28"/>
          <w:szCs w:val="28"/>
          <w:lang w:eastAsia="en-US"/>
        </w:rPr>
        <w:t>В проверяемом периоде Предприятию направлены средства субсидии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 в размере 21 651 259,22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0B9A953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 </w:t>
      </w:r>
      <w:r w:rsidRPr="00C22CCD">
        <w:rPr>
          <w:rFonts w:eastAsiaTheme="minorHAnsi"/>
          <w:sz w:val="28"/>
          <w:szCs w:val="28"/>
          <w:lang w:eastAsia="en-US"/>
        </w:rPr>
        <w:t>Соглашению № 3 от 24.01.2022 выполнен капитальный ремонт водозаборной скважины № 12531 на сумму 731 999,00 рублей. На проведение ремонта водозаборной скважины № 12531 был заключен договор № 1 от 01.03.2022 с ИП Оводенко Я.П.</w:t>
      </w:r>
      <w:r w:rsidRPr="00C22CCD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Данный </w:t>
      </w:r>
      <w:r w:rsidRPr="00C22CCD">
        <w:rPr>
          <w:rFonts w:eastAsiaTheme="minorHAnsi"/>
          <w:sz w:val="28"/>
          <w:szCs w:val="28"/>
          <w:lang w:eastAsia="en-US"/>
        </w:rPr>
        <w:t>договор с ИП Оводенко Я.П. был заключен без проведения конкурсных процедур. Таким образом, данные обстоятельства свидетельствуют, что действия МУП "ЖКХ", выразившиеся в неправомерном определении порядка проведения закупки, нарушившие требования подпункта "в" пункта 5 части 2 статьи 1 Закона о закупках, а также подпункта "в" пункта 2 части 2.1 статьи 15 Закона о контрактной системе, образуют состав административного правонарушения, ответственность за которое предусмотрена частью 3 статьи 7.32.3 КоАП РФ.</w:t>
      </w:r>
    </w:p>
    <w:p w14:paraId="6DA190B8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</w:t>
      </w:r>
      <w:r w:rsidRPr="00C22CCD">
        <w:rPr>
          <w:rFonts w:eastAsiaTheme="minorHAnsi"/>
          <w:sz w:val="28"/>
          <w:szCs w:val="28"/>
          <w:lang w:eastAsia="en-US"/>
        </w:rPr>
        <w:t xml:space="preserve">о Соглашению № 5 от 24.01.2022 выполнены работы по капитальному ремонту инженерных сетей водоснабжения с. Камень-Рыболов на сумму 63 </w:t>
      </w:r>
      <w:r w:rsidRPr="00C22CCD">
        <w:rPr>
          <w:rFonts w:eastAsiaTheme="minorHAnsi"/>
          <w:sz w:val="28"/>
          <w:szCs w:val="28"/>
          <w:lang w:eastAsia="en-US"/>
        </w:rPr>
        <w:lastRenderedPageBreak/>
        <w:t>414,00 рублей. Акт о приемке выполненных работ от 15.02.2022 № 001-с. По данному акту были выполнены работы ремонту сети водоснабжения путем протаскивания в футляр полиэтиленовых труб диаметром 63 мм в существующий трубопровод по ул. Некрасова (55м). Следует отметить, что согласно рекомендациям Научно-исследовательского центра муниципальной экономики по нормированию материальных ресурсов на техническое обслуживание и ремонт сетей, данный вид работ относится к текущему, а не капитальному ремонту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A39CC31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</w:t>
      </w:r>
      <w:r w:rsidRPr="00C22CCD">
        <w:rPr>
          <w:rFonts w:eastAsiaTheme="minorHAnsi"/>
          <w:sz w:val="28"/>
          <w:szCs w:val="28"/>
          <w:lang w:eastAsia="en-US"/>
        </w:rPr>
        <w:t>о Соглашению № 20 от 18.08.2022 выполнены строительно-монтажные работы группового водозабора с. Камень-Рыболов – с. Астраханка (ремонт скважины № 12532) на сумму 2 415 972,73 рублей. Для выполнения данных работ был проведен электронный аукцион, по результатам которого, заключен контракт № 32530008552220000060001 от 12.09.2022 с ИП Оводенко Я.П. на сумму 1 170 483,95 рублей. Кроме того, по результатам электронного аукциона были приобретены скважинные насосы на сумму 1 044 639,13 рублей (контракт № 32530008552220000010001 от 27.05.2022). Общая сумма затраченных средств на выполнение строительно-монтажных работ группового водозабора с. Камень-Рыболов – с. Астраханка (ремонт скважины № 12532) составила 2 215 123,08 рублей, что на 200 849,65 рублей меньше полученной субсидии из бюджета Ханкайского муниципального округа.</w:t>
      </w:r>
    </w:p>
    <w:p w14:paraId="465B6804" w14:textId="77777777" w:rsidR="00E93C8E" w:rsidRPr="00C22CCD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</w:t>
      </w:r>
      <w:r w:rsidRPr="0025401A">
        <w:rPr>
          <w:rFonts w:eastAsiaTheme="minorHAnsi"/>
          <w:sz w:val="28"/>
          <w:szCs w:val="28"/>
          <w:lang w:eastAsia="en-US"/>
        </w:rPr>
        <w:t>ключение в локальный сметный расчет суммы в размере 200 849,65 рублей сверх фактических затрат содержит признаки нарушения ч. 1 ст. 306.4 Бюджетного кодекса Российской (нецелевое использование бюджетных средств), предусмотренных ст. 15.14 Кодекса об административных правонарушениях Российской Федерации.</w:t>
      </w:r>
    </w:p>
    <w:p w14:paraId="3BB230BA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Г</w:t>
      </w:r>
      <w:r w:rsidRPr="00C22CCD">
        <w:rPr>
          <w:rFonts w:eastAsiaTheme="minorHAnsi"/>
          <w:sz w:val="28"/>
          <w:szCs w:val="28"/>
          <w:lang w:eastAsia="en-US"/>
        </w:rPr>
        <w:t xml:space="preserve">одовой объём закупок для выполнения капитальных ремонтов МУП «ЖКХ» по п. 4, ч. 1 ст. 93 Закона № 44-ФЗ в 2022 году составил 2 646 399,94 рублей, что противоречит требованиями пункта 4 части 1 статьи 93 Закона № 44-ФЗ, в связи с превышением допустимого лимита денежных средств, предусмотренного положениями настоящего законодательства. Действия </w:t>
      </w:r>
      <w:r w:rsidRPr="00C22CCD">
        <w:rPr>
          <w:rFonts w:eastAsiaTheme="minorHAnsi"/>
          <w:sz w:val="28"/>
          <w:szCs w:val="28"/>
          <w:lang w:eastAsia="en-US"/>
        </w:rPr>
        <w:lastRenderedPageBreak/>
        <w:t>заказчика является нарушением Закона № 44-ФЗ и квалифицируется по ч. 1 ст. 7.29 КоАП.</w:t>
      </w:r>
    </w:p>
    <w:p w14:paraId="3E043027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 По результатам анализа с</w:t>
      </w:r>
      <w:r w:rsidRPr="00C22CCD">
        <w:rPr>
          <w:rFonts w:eastAsiaTheme="minorHAnsi"/>
          <w:sz w:val="28"/>
          <w:szCs w:val="28"/>
          <w:lang w:eastAsia="en-US"/>
        </w:rPr>
        <w:t>облюдени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22CCD">
        <w:rPr>
          <w:rFonts w:eastAsiaTheme="minorHAnsi"/>
          <w:sz w:val="28"/>
          <w:szCs w:val="28"/>
          <w:lang w:eastAsia="en-US"/>
        </w:rPr>
        <w:t xml:space="preserve"> установленного порядка отчетности об использовании 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 выявлено:</w:t>
      </w:r>
    </w:p>
    <w:p w14:paraId="41B8272D" w14:textId="77777777" w:rsidR="00E93C8E" w:rsidRPr="000A15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3.1.</w:t>
      </w:r>
      <w:r w:rsidRPr="000A158E">
        <w:t xml:space="preserve"> </w:t>
      </w:r>
      <w:r>
        <w:t>О</w:t>
      </w:r>
      <w:r w:rsidRPr="000A158E">
        <w:rPr>
          <w:rFonts w:eastAsiaTheme="minorHAnsi"/>
          <w:sz w:val="28"/>
          <w:szCs w:val="28"/>
          <w:lang w:eastAsia="en-US"/>
        </w:rPr>
        <w:t>тчет о целевом использовании субсидии</w:t>
      </w:r>
      <w:r>
        <w:rPr>
          <w:rFonts w:eastAsiaTheme="minorHAnsi"/>
          <w:sz w:val="28"/>
          <w:szCs w:val="28"/>
          <w:lang w:eastAsia="en-US"/>
        </w:rPr>
        <w:t xml:space="preserve"> на</w:t>
      </w:r>
      <w:r w:rsidRPr="000A158E">
        <w:rPr>
          <w:rFonts w:eastAsiaTheme="minorHAnsi"/>
          <w:sz w:val="28"/>
          <w:szCs w:val="28"/>
          <w:lang w:eastAsia="en-US"/>
        </w:rPr>
        <w:t xml:space="preserve"> увеличение уставного </w:t>
      </w:r>
    </w:p>
    <w:p w14:paraId="50C3CF79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A158E">
        <w:rPr>
          <w:rFonts w:eastAsiaTheme="minorHAnsi"/>
          <w:sz w:val="28"/>
          <w:szCs w:val="28"/>
          <w:lang w:eastAsia="en-US"/>
        </w:rPr>
        <w:t>фонда муниципальным унитарным предприятиям</w:t>
      </w:r>
      <w:r w:rsidRPr="000A158E">
        <w:t xml:space="preserve"> </w:t>
      </w:r>
      <w:r w:rsidRPr="000A158E">
        <w:rPr>
          <w:rFonts w:eastAsiaTheme="minorHAnsi"/>
          <w:sz w:val="28"/>
          <w:szCs w:val="28"/>
          <w:lang w:eastAsia="en-US"/>
        </w:rPr>
        <w:t>предоставлен отчет в отдел экономики Администрации Ханкайского муниципального округа в установленный срок.</w:t>
      </w:r>
    </w:p>
    <w:p w14:paraId="02FB44E7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3.2. О</w:t>
      </w:r>
      <w:r w:rsidRPr="000A158E">
        <w:rPr>
          <w:rFonts w:eastAsiaTheme="minorHAnsi"/>
          <w:sz w:val="28"/>
          <w:szCs w:val="28"/>
          <w:lang w:eastAsia="en-US"/>
        </w:rPr>
        <w:t>тчет о целевом использовании субсидии в целях возмещения части затрат по электроэнергии, связанных с оказанием услуг по водоснабжению населения предоставлял</w:t>
      </w:r>
      <w:r>
        <w:rPr>
          <w:rFonts w:eastAsiaTheme="minorHAnsi"/>
          <w:sz w:val="28"/>
          <w:szCs w:val="28"/>
          <w:lang w:eastAsia="en-US"/>
        </w:rPr>
        <w:t>ся</w:t>
      </w:r>
      <w:r w:rsidRPr="000A15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отдел экономики Администрации Ханкайского муниципального округа</w:t>
      </w:r>
      <w:r w:rsidRPr="000A158E">
        <w:rPr>
          <w:rFonts w:eastAsiaTheme="minorHAnsi"/>
          <w:sz w:val="28"/>
          <w:szCs w:val="28"/>
          <w:lang w:eastAsia="en-US"/>
        </w:rPr>
        <w:t xml:space="preserve"> с нарушением сроков. Так, например, за июль 2022 года отчет предоставлен 02.09.2022, за сентябрь – 09.11.2022, за октябрь – 21.12.2022.</w:t>
      </w:r>
    </w:p>
    <w:p w14:paraId="7C8F13A0" w14:textId="77777777" w:rsidR="00E93C8E" w:rsidRDefault="00E93C8E" w:rsidP="00E93C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3.3.</w:t>
      </w:r>
      <w:r w:rsidRPr="000A158E">
        <w:t xml:space="preserve"> </w:t>
      </w:r>
      <w:r w:rsidRPr="000A158E">
        <w:rPr>
          <w:rFonts w:eastAsiaTheme="minorHAnsi"/>
          <w:sz w:val="28"/>
          <w:szCs w:val="28"/>
          <w:lang w:eastAsia="en-US"/>
        </w:rPr>
        <w:t>Во исполнение п. 3 Порядка предоставления субсидий муниципальным унитарным предприятиям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пользования, находящихся в муниципальной собственности, утвержденного Постановлением Администрации Ханкайского муниципального района от 28.01.2021 № 79-па отчеты  о целевом расходовании субсидии, о достижении значений показателей результативности и о выполненных работах должны предоставляться ежеквартально до 10 числа. МУП «ЖКХ» предоставляли отчеты ежемесячно по факту выполнения работ.</w:t>
      </w:r>
    </w:p>
    <w:p w14:paraId="605F151B" w14:textId="77777777" w:rsidR="00195D37" w:rsidRPr="007E3087" w:rsidRDefault="00195D37" w:rsidP="007E308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BC8A5CF" w14:textId="566EF58E" w:rsidR="00626901" w:rsidRDefault="00626901" w:rsidP="00626901">
      <w:pPr>
        <w:tabs>
          <w:tab w:val="left" w:pos="0"/>
        </w:tabs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58E">
        <w:rPr>
          <w:rFonts w:eastAsiaTheme="minorHAnsi"/>
          <w:b/>
          <w:bCs/>
          <w:sz w:val="28"/>
          <w:szCs w:val="28"/>
          <w:lang w:eastAsia="en-US"/>
        </w:rPr>
        <w:t xml:space="preserve"> Предложения</w:t>
      </w:r>
    </w:p>
    <w:p w14:paraId="1B8DD297" w14:textId="0ADF518C" w:rsidR="00626901" w:rsidRPr="00626901" w:rsidRDefault="00626901" w:rsidP="00626901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26901">
        <w:rPr>
          <w:rFonts w:eastAsiaTheme="minorHAnsi"/>
          <w:sz w:val="28"/>
          <w:szCs w:val="28"/>
          <w:lang w:eastAsia="en-US"/>
        </w:rPr>
        <w:t>Муниципальному унитарному предприятию «ЖКХ»:</w:t>
      </w:r>
    </w:p>
    <w:p w14:paraId="094904FC" w14:textId="77777777" w:rsidR="00626901" w:rsidRDefault="00626901" w:rsidP="00626901">
      <w:pPr>
        <w:tabs>
          <w:tab w:val="left" w:pos="0"/>
        </w:tabs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A158E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О</w:t>
      </w:r>
      <w:r w:rsidRPr="00823905">
        <w:rPr>
          <w:rFonts w:eastAsiaTheme="minorHAnsi"/>
          <w:sz w:val="28"/>
          <w:szCs w:val="28"/>
          <w:lang w:eastAsia="en-US"/>
        </w:rPr>
        <w:t>существл</w:t>
      </w:r>
      <w:r>
        <w:rPr>
          <w:rFonts w:eastAsiaTheme="minorHAnsi"/>
          <w:sz w:val="28"/>
          <w:szCs w:val="28"/>
          <w:lang w:eastAsia="en-US"/>
        </w:rPr>
        <w:t>ять</w:t>
      </w:r>
      <w:r w:rsidRPr="00823905">
        <w:rPr>
          <w:rFonts w:eastAsiaTheme="minorHAnsi"/>
          <w:sz w:val="28"/>
          <w:szCs w:val="28"/>
          <w:lang w:eastAsia="en-US"/>
        </w:rPr>
        <w:t xml:space="preserve"> закуп</w:t>
      </w:r>
      <w:r>
        <w:rPr>
          <w:rFonts w:eastAsiaTheme="minorHAnsi"/>
          <w:sz w:val="28"/>
          <w:szCs w:val="28"/>
          <w:lang w:eastAsia="en-US"/>
        </w:rPr>
        <w:t>ки</w:t>
      </w:r>
      <w:r w:rsidRPr="00823905">
        <w:rPr>
          <w:rFonts w:eastAsiaTheme="minorHAnsi"/>
          <w:sz w:val="28"/>
          <w:szCs w:val="28"/>
          <w:lang w:eastAsia="en-US"/>
        </w:rPr>
        <w:t xml:space="preserve"> за счет субсидий (кроме грантов в форме субсидий, предоставляемых на конкурсной основе), предоставляемых предприяти</w:t>
      </w:r>
      <w:r>
        <w:rPr>
          <w:rFonts w:eastAsiaTheme="minorHAnsi"/>
          <w:sz w:val="28"/>
          <w:szCs w:val="28"/>
          <w:lang w:eastAsia="en-US"/>
        </w:rPr>
        <w:t>ю из бюджета Ханкайского муниципального округа</w:t>
      </w:r>
      <w:r w:rsidRPr="0082390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823905">
        <w:rPr>
          <w:rFonts w:eastAsiaTheme="minorHAnsi"/>
          <w:sz w:val="28"/>
          <w:szCs w:val="28"/>
          <w:lang w:eastAsia="en-US"/>
        </w:rPr>
        <w:t xml:space="preserve">положениями Закона о контрактной системе независимо от </w:t>
      </w:r>
      <w:r w:rsidRPr="00823905">
        <w:rPr>
          <w:rFonts w:eastAsiaTheme="minorHAnsi"/>
          <w:sz w:val="28"/>
          <w:szCs w:val="28"/>
          <w:lang w:eastAsia="en-US"/>
        </w:rPr>
        <w:lastRenderedPageBreak/>
        <w:t>того, в каком порядке предоставлены субсидии (в порядке возмещения затрат либо в целях финансового обеспечения затрат).</w:t>
      </w:r>
      <w:r w:rsidRPr="00626901">
        <w:rPr>
          <w:rFonts w:eastAsiaTheme="minorHAnsi"/>
          <w:sz w:val="28"/>
          <w:szCs w:val="28"/>
          <w:lang w:eastAsia="en-US"/>
        </w:rPr>
        <w:t xml:space="preserve"> </w:t>
      </w:r>
    </w:p>
    <w:p w14:paraId="2AD49CE9" w14:textId="261BF076" w:rsidR="00626901" w:rsidRDefault="00626901" w:rsidP="00626901">
      <w:pPr>
        <w:tabs>
          <w:tab w:val="left" w:pos="0"/>
        </w:tabs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C4735">
        <w:rPr>
          <w:rFonts w:eastAsiaTheme="minorHAnsi"/>
          <w:sz w:val="28"/>
          <w:szCs w:val="28"/>
          <w:lang w:eastAsia="en-US"/>
        </w:rPr>
        <w:t>В  расчете размера предоставляемой субсидии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</w:t>
      </w:r>
      <w:r>
        <w:rPr>
          <w:rFonts w:eastAsiaTheme="minorHAnsi"/>
          <w:sz w:val="28"/>
          <w:szCs w:val="28"/>
          <w:lang w:eastAsia="en-US"/>
        </w:rPr>
        <w:t xml:space="preserve"> (Приложение 1 к Порядку </w:t>
      </w:r>
      <w:r w:rsidRPr="00CC4735">
        <w:rPr>
          <w:rFonts w:eastAsiaTheme="minorHAnsi"/>
          <w:sz w:val="28"/>
          <w:szCs w:val="28"/>
          <w:lang w:eastAsia="en-US"/>
        </w:rPr>
        <w:t>от 28.01.2021 № 79-па</w:t>
      </w:r>
      <w:r>
        <w:rPr>
          <w:rFonts w:eastAsiaTheme="minorHAnsi"/>
          <w:sz w:val="28"/>
          <w:szCs w:val="28"/>
          <w:lang w:eastAsia="en-US"/>
        </w:rPr>
        <w:t>)</w:t>
      </w:r>
      <w:r w:rsidRPr="00CC4735">
        <w:t xml:space="preserve"> </w:t>
      </w:r>
      <w:r w:rsidRPr="00CC4735">
        <w:rPr>
          <w:sz w:val="28"/>
          <w:szCs w:val="28"/>
        </w:rPr>
        <w:t xml:space="preserve">в графе </w:t>
      </w:r>
      <w:r w:rsidRPr="00CC4735">
        <w:rPr>
          <w:rFonts w:eastAsiaTheme="minorHAnsi"/>
          <w:sz w:val="28"/>
          <w:szCs w:val="28"/>
          <w:lang w:eastAsia="en-US"/>
        </w:rPr>
        <w:t>наименования статей и затрат для выполнения работы (услуги)</w:t>
      </w:r>
      <w:r>
        <w:rPr>
          <w:rFonts w:eastAsiaTheme="minorHAnsi"/>
          <w:sz w:val="28"/>
          <w:szCs w:val="28"/>
          <w:lang w:eastAsia="en-US"/>
        </w:rPr>
        <w:t xml:space="preserve"> указывать </w:t>
      </w:r>
      <w:r w:rsidRPr="00CC4735">
        <w:rPr>
          <w:rFonts w:eastAsiaTheme="minorHAnsi"/>
          <w:sz w:val="28"/>
          <w:szCs w:val="28"/>
          <w:lang w:eastAsia="en-US"/>
        </w:rPr>
        <w:t>стат</w:t>
      </w:r>
      <w:r>
        <w:rPr>
          <w:rFonts w:eastAsiaTheme="minorHAnsi"/>
          <w:sz w:val="28"/>
          <w:szCs w:val="28"/>
          <w:lang w:eastAsia="en-US"/>
        </w:rPr>
        <w:t>ьи</w:t>
      </w:r>
      <w:r w:rsidRPr="00CC4735">
        <w:rPr>
          <w:rFonts w:eastAsiaTheme="minorHAnsi"/>
          <w:sz w:val="28"/>
          <w:szCs w:val="28"/>
          <w:lang w:eastAsia="en-US"/>
        </w:rPr>
        <w:t xml:space="preserve"> и затрат</w:t>
      </w:r>
      <w:r>
        <w:rPr>
          <w:rFonts w:eastAsiaTheme="minorHAnsi"/>
          <w:sz w:val="28"/>
          <w:szCs w:val="28"/>
          <w:lang w:eastAsia="en-US"/>
        </w:rPr>
        <w:t>ы</w:t>
      </w:r>
      <w:r w:rsidRPr="00CC4735">
        <w:rPr>
          <w:rFonts w:eastAsiaTheme="minorHAnsi"/>
          <w:sz w:val="28"/>
          <w:szCs w:val="28"/>
          <w:lang w:eastAsia="en-US"/>
        </w:rPr>
        <w:t xml:space="preserve"> для выполнения работы (услуги)</w:t>
      </w:r>
      <w:r>
        <w:rPr>
          <w:rFonts w:eastAsiaTheme="minorHAnsi"/>
          <w:sz w:val="28"/>
          <w:szCs w:val="28"/>
          <w:lang w:eastAsia="en-US"/>
        </w:rPr>
        <w:t xml:space="preserve"> согласно дефектной ведомости.</w:t>
      </w:r>
    </w:p>
    <w:p w14:paraId="154A7A93" w14:textId="77777777" w:rsidR="00626901" w:rsidRDefault="00626901" w:rsidP="00626901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14:paraId="56DA3215" w14:textId="740C935E" w:rsidR="00626901" w:rsidRDefault="00626901" w:rsidP="00626901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Ханкайского муниципального округа:</w:t>
      </w:r>
    </w:p>
    <w:p w14:paraId="39945702" w14:textId="0B59C5EE" w:rsidR="00626901" w:rsidRDefault="00626901" w:rsidP="00626901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 Внести изменения в Порядок</w:t>
      </w:r>
      <w:r w:rsidRPr="0025401A">
        <w:t xml:space="preserve"> </w:t>
      </w:r>
      <w:r w:rsidRPr="0025401A">
        <w:rPr>
          <w:rFonts w:eastAsiaTheme="minorHAnsi"/>
          <w:sz w:val="28"/>
          <w:szCs w:val="28"/>
          <w:lang w:eastAsia="en-US"/>
        </w:rPr>
        <w:t>предоставления субсидий юридическим лицам (за исключением субсидии муниципальным учреждениям), индивидуальным предпринимателям в целях возмещения части затрат по электроэнергии, связанных с оказанием услуг по водоснабжению населения Ханкайского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, утвержденный</w:t>
      </w:r>
      <w:r w:rsidRPr="0025401A">
        <w:t xml:space="preserve"> </w:t>
      </w:r>
      <w:r w:rsidRPr="0025401A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25401A">
        <w:rPr>
          <w:rFonts w:eastAsiaTheme="minorHAnsi"/>
          <w:sz w:val="28"/>
          <w:szCs w:val="28"/>
          <w:lang w:eastAsia="en-US"/>
        </w:rPr>
        <w:t xml:space="preserve"> Администрации Ханкайского муниципального округа от 28.01.2021 № 78-па </w:t>
      </w:r>
      <w:r>
        <w:rPr>
          <w:rFonts w:eastAsiaTheme="minorHAnsi"/>
          <w:sz w:val="28"/>
          <w:szCs w:val="28"/>
          <w:lang w:eastAsia="en-US"/>
        </w:rPr>
        <w:t xml:space="preserve">в части </w:t>
      </w:r>
      <w:r w:rsidRPr="0025401A">
        <w:rPr>
          <w:rFonts w:eastAsiaTheme="minorHAnsi"/>
          <w:sz w:val="28"/>
          <w:szCs w:val="28"/>
          <w:lang w:eastAsia="en-US"/>
        </w:rPr>
        <w:t>возмещения части затрат</w:t>
      </w:r>
      <w:r>
        <w:rPr>
          <w:rFonts w:eastAsiaTheme="minorHAnsi"/>
          <w:sz w:val="28"/>
          <w:szCs w:val="28"/>
          <w:lang w:eastAsia="en-US"/>
        </w:rPr>
        <w:t xml:space="preserve"> по электроэнергии</w:t>
      </w:r>
      <w:r w:rsidRPr="0025401A">
        <w:rPr>
          <w:rFonts w:eastAsiaTheme="minorHAnsi"/>
          <w:sz w:val="28"/>
          <w:szCs w:val="28"/>
          <w:lang w:eastAsia="en-US"/>
        </w:rPr>
        <w:t>, связанных с оказанием услуг по водоснабжению населения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ADAC2B1" w14:textId="55A5518A" w:rsidR="00626901" w:rsidRDefault="00626901" w:rsidP="00626901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В </w:t>
      </w:r>
      <w:r w:rsidRPr="00CC4735">
        <w:rPr>
          <w:rFonts w:eastAsiaTheme="minorHAnsi"/>
          <w:sz w:val="28"/>
          <w:szCs w:val="28"/>
          <w:lang w:eastAsia="en-US"/>
        </w:rPr>
        <w:t>Соглашения</w:t>
      </w:r>
      <w:r>
        <w:rPr>
          <w:rFonts w:eastAsiaTheme="minorHAnsi"/>
          <w:sz w:val="28"/>
          <w:szCs w:val="28"/>
          <w:lang w:eastAsia="en-US"/>
        </w:rPr>
        <w:t>х</w:t>
      </w:r>
      <w:r w:rsidRPr="00CC4735">
        <w:rPr>
          <w:rFonts w:eastAsiaTheme="minorHAnsi"/>
          <w:sz w:val="28"/>
          <w:szCs w:val="28"/>
          <w:lang w:eastAsia="en-US"/>
        </w:rPr>
        <w:t xml:space="preserve">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</w:t>
      </w:r>
      <w:r w:rsidRPr="00CC4735">
        <w:t xml:space="preserve"> </w:t>
      </w:r>
      <w:r w:rsidRPr="00CC4735">
        <w:rPr>
          <w:rFonts w:eastAsiaTheme="minorHAnsi"/>
          <w:sz w:val="28"/>
          <w:szCs w:val="28"/>
          <w:lang w:eastAsia="en-US"/>
        </w:rPr>
        <w:t>определ</w:t>
      </w:r>
      <w:r>
        <w:rPr>
          <w:rFonts w:eastAsiaTheme="minorHAnsi"/>
          <w:sz w:val="28"/>
          <w:szCs w:val="28"/>
          <w:lang w:eastAsia="en-US"/>
        </w:rPr>
        <w:t>ить</w:t>
      </w:r>
      <w:r w:rsidRPr="00CC4735">
        <w:rPr>
          <w:rFonts w:eastAsiaTheme="minorHAnsi"/>
          <w:sz w:val="28"/>
          <w:szCs w:val="28"/>
          <w:lang w:eastAsia="en-US"/>
        </w:rPr>
        <w:t xml:space="preserve"> показатели, которые позволяют определить результативность и эффективность использования выделенных бюджетных средств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56BC769" w14:textId="74DBB46F" w:rsidR="00626901" w:rsidRDefault="00626901" w:rsidP="00626901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C49B8">
        <w:rPr>
          <w:rFonts w:eastAsiaTheme="minorHAnsi"/>
          <w:sz w:val="28"/>
          <w:szCs w:val="28"/>
          <w:lang w:eastAsia="en-US"/>
        </w:rPr>
        <w:t>По результатам контрольного мероприятия от проверяемой организации возражений и замечаний не поступало.</w:t>
      </w:r>
    </w:p>
    <w:p w14:paraId="5E046F36" w14:textId="19B777E6" w:rsidR="001D72D5" w:rsidRDefault="001274F5" w:rsidP="001D72D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14:paraId="7A40BC62" w14:textId="77777777" w:rsidR="001D72D5" w:rsidRPr="00CA578A" w:rsidRDefault="001D72D5" w:rsidP="000A158E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9677B38" w14:textId="77777777" w:rsidR="00E66576" w:rsidRDefault="00E66576" w:rsidP="00E665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</w:t>
      </w:r>
    </w:p>
    <w:p w14:paraId="01EED0DD" w14:textId="77777777" w:rsidR="00E66576" w:rsidRDefault="00E66576" w:rsidP="00E66576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Ханкайского муниципального</w:t>
      </w:r>
    </w:p>
    <w:p w14:paraId="41CF66A2" w14:textId="77777777" w:rsidR="00E66576" w:rsidRDefault="00E66576" w:rsidP="00E66576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                                                                                            Ю.Ф. Филаткина</w:t>
      </w:r>
    </w:p>
    <w:p w14:paraId="5C333FE0" w14:textId="77777777" w:rsidR="00E66576" w:rsidRDefault="00E66576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E66576" w:rsidSect="00B8650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B2BB" w14:textId="77777777" w:rsidR="00651B64" w:rsidRDefault="00651B64" w:rsidP="001274F5">
      <w:r>
        <w:separator/>
      </w:r>
    </w:p>
  </w:endnote>
  <w:endnote w:type="continuationSeparator" w:id="0">
    <w:p w14:paraId="6A86CE7F" w14:textId="77777777" w:rsidR="00651B64" w:rsidRDefault="00651B64" w:rsidP="001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297657"/>
      <w:docPartObj>
        <w:docPartGallery w:val="Page Numbers (Bottom of Page)"/>
        <w:docPartUnique/>
      </w:docPartObj>
    </w:sdtPr>
    <w:sdtEndPr/>
    <w:sdtContent>
      <w:p w14:paraId="409C42E8" w14:textId="77777777" w:rsidR="00B86509" w:rsidRDefault="00B865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92">
          <w:rPr>
            <w:noProof/>
          </w:rPr>
          <w:t>20</w:t>
        </w:r>
        <w:r>
          <w:fldChar w:fldCharType="end"/>
        </w:r>
      </w:p>
    </w:sdtContent>
  </w:sdt>
  <w:p w14:paraId="45BF8D7B" w14:textId="77777777" w:rsidR="007754C6" w:rsidRDefault="001C49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C7C7" w14:textId="77777777" w:rsidR="00651B64" w:rsidRDefault="00651B64" w:rsidP="001274F5">
      <w:r>
        <w:separator/>
      </w:r>
    </w:p>
  </w:footnote>
  <w:footnote w:type="continuationSeparator" w:id="0">
    <w:p w14:paraId="6A3D989B" w14:textId="77777777" w:rsidR="00651B64" w:rsidRDefault="00651B64" w:rsidP="0012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C9D1" w14:textId="77777777" w:rsidR="00B86509" w:rsidRDefault="00B86509" w:rsidP="00B86509">
    <w:pPr>
      <w:pStyle w:val="af3"/>
      <w:pBdr>
        <w:bottom w:val="none" w:sz="0" w:space="0" w:color="auto"/>
      </w:pBdr>
      <w:tabs>
        <w:tab w:val="center" w:pos="4677"/>
      </w:tabs>
      <w:jc w:val="center"/>
      <w:rPr>
        <w:b/>
        <w:color w:val="0070C0"/>
        <w:sz w:val="40"/>
        <w:szCs w:val="44"/>
      </w:rPr>
    </w:pPr>
    <w:r>
      <w:rPr>
        <w:b/>
        <w:noProof/>
        <w:sz w:val="48"/>
        <w:szCs w:val="28"/>
      </w:rPr>
      <w:drawing>
        <wp:inline distT="0" distB="0" distL="0" distR="0" wp14:anchorId="62FBEF69" wp14:editId="761C82C2">
          <wp:extent cx="600075" cy="752475"/>
          <wp:effectExtent l="0" t="0" r="9525" b="9525"/>
          <wp:docPr id="13" name="Рисунок 13" descr="Герб Ханкайского района (без ПК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Герб Ханкайского района (без ПК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B86509" w:rsidRPr="00B86509" w14:paraId="79C49845" w14:textId="77777777" w:rsidTr="00476830">
      <w:trPr>
        <w:cantSplit/>
      </w:trPr>
      <w:tc>
        <w:tcPr>
          <w:tcW w:w="9570" w:type="dxa"/>
        </w:tcPr>
        <w:p w14:paraId="75770D65" w14:textId="77777777" w:rsidR="00B86509" w:rsidRDefault="00B86509" w:rsidP="00B86509">
          <w:pPr>
            <w:jc w:val="center"/>
            <w:rPr>
              <w:b/>
              <w:color w:val="0070C0"/>
              <w:sz w:val="40"/>
              <w:szCs w:val="44"/>
            </w:rPr>
          </w:pPr>
          <w:r w:rsidRPr="00B86509">
            <w:rPr>
              <w:b/>
              <w:color w:val="0070C0"/>
              <w:sz w:val="40"/>
              <w:szCs w:val="44"/>
            </w:rPr>
            <w:t>Контрольно-Счетная палата</w:t>
          </w:r>
        </w:p>
        <w:p w14:paraId="7349DDEA" w14:textId="77777777" w:rsidR="00B86509" w:rsidRDefault="00B86509" w:rsidP="00B86509">
          <w:pPr>
            <w:jc w:val="center"/>
            <w:rPr>
              <w:b/>
              <w:color w:val="0070C0"/>
              <w:sz w:val="40"/>
              <w:szCs w:val="36"/>
            </w:rPr>
          </w:pPr>
          <w:r w:rsidRPr="00B86509">
            <w:rPr>
              <w:b/>
              <w:color w:val="0070C0"/>
              <w:sz w:val="40"/>
              <w:szCs w:val="36"/>
            </w:rPr>
            <w:t>Ханкайского муниципального округа</w:t>
          </w:r>
        </w:p>
        <w:p w14:paraId="73D34E85" w14:textId="77777777" w:rsidR="00B86509" w:rsidRPr="00B86509" w:rsidRDefault="00B86509" w:rsidP="00B86509">
          <w:pPr>
            <w:jc w:val="center"/>
            <w:rPr>
              <w:rFonts w:ascii="PT Astra Serif" w:hAnsi="PT Astra Serif"/>
              <w:color w:val="0070C0"/>
              <w:sz w:val="20"/>
              <w:szCs w:val="20"/>
            </w:rPr>
          </w:pPr>
          <w:r w:rsidRPr="00B86509">
            <w:rPr>
              <w:rFonts w:ascii="PT Astra Serif" w:hAnsi="PT Astra Serif"/>
              <w:color w:val="0070C0"/>
              <w:sz w:val="20"/>
              <w:szCs w:val="20"/>
            </w:rPr>
            <w:t>Ул. Октябрьская, д. 6,  с. Камень-Рыболов,  тел.8(42349)99-1-90</w:t>
          </w:r>
        </w:p>
        <w:p w14:paraId="0C782F8B" w14:textId="77777777" w:rsidR="00B86509" w:rsidRPr="00B86509" w:rsidRDefault="00B86509" w:rsidP="00B86509">
          <w:pPr>
            <w:jc w:val="center"/>
            <w:rPr>
              <w:rFonts w:ascii="PT Astra Serif" w:hAnsi="PT Astra Serif"/>
              <w:color w:val="0070C0"/>
              <w:sz w:val="20"/>
              <w:szCs w:val="20"/>
            </w:rPr>
          </w:pPr>
          <w:r>
            <w:rPr>
              <w:rFonts w:ascii="PT Astra Serif" w:hAnsi="PT Astra Serif"/>
              <w:noProof/>
              <w:color w:val="0070C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D130BB" wp14:editId="7A475145">
                    <wp:simplePos x="0" y="0"/>
                    <wp:positionH relativeFrom="column">
                      <wp:posOffset>262890</wp:posOffset>
                    </wp:positionH>
                    <wp:positionV relativeFrom="paragraph">
                      <wp:posOffset>98425</wp:posOffset>
                    </wp:positionV>
                    <wp:extent cx="5667375" cy="90805"/>
                    <wp:effectExtent l="19050" t="23495" r="38100" b="4762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67375" cy="9080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ECE755" id="Прямоугольник 2" o:spid="_x0000_s1026" style="position:absolute;margin-left:20.7pt;margin-top:7.75pt;width:44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" fillcolor="#4f81bd" strokecolor="#f2f2f2" strokeweight="3pt">
                    <v:shadow on="t" color="#243f60" opacity=".5" offset="1pt"/>
                  </v:rect>
                </w:pict>
              </mc:Fallback>
            </mc:AlternateContent>
          </w:r>
        </w:p>
      </w:tc>
    </w:tr>
  </w:tbl>
  <w:p w14:paraId="061298CA" w14:textId="77777777" w:rsidR="00B86509" w:rsidRPr="00B86509" w:rsidRDefault="00B86509" w:rsidP="00B86509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533"/>
    <w:multiLevelType w:val="multilevel"/>
    <w:tmpl w:val="0232A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CF06669"/>
    <w:multiLevelType w:val="multilevel"/>
    <w:tmpl w:val="252C739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  <w:b w:val="0"/>
        <w:sz w:val="28"/>
      </w:rPr>
    </w:lvl>
  </w:abstractNum>
  <w:abstractNum w:abstractNumId="2" w15:restartNumberingAfterBreak="0">
    <w:nsid w:val="232911A2"/>
    <w:multiLevelType w:val="hybridMultilevel"/>
    <w:tmpl w:val="C8C23CE0"/>
    <w:lvl w:ilvl="0" w:tplc="E6503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FB106D"/>
    <w:multiLevelType w:val="hybridMultilevel"/>
    <w:tmpl w:val="9CE6B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E70897"/>
    <w:multiLevelType w:val="multilevel"/>
    <w:tmpl w:val="2208E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DDE4D35"/>
    <w:multiLevelType w:val="multilevel"/>
    <w:tmpl w:val="2208E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380C43"/>
    <w:multiLevelType w:val="multilevel"/>
    <w:tmpl w:val="E5E05B3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7" w15:restartNumberingAfterBreak="0">
    <w:nsid w:val="71162440"/>
    <w:multiLevelType w:val="hybridMultilevel"/>
    <w:tmpl w:val="15C482F4"/>
    <w:lvl w:ilvl="0" w:tplc="7676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3954986">
    <w:abstractNumId w:val="2"/>
  </w:num>
  <w:num w:numId="2" w16cid:durableId="1224834643">
    <w:abstractNumId w:val="7"/>
  </w:num>
  <w:num w:numId="3" w16cid:durableId="1347634253">
    <w:abstractNumId w:val="4"/>
  </w:num>
  <w:num w:numId="4" w16cid:durableId="785542191">
    <w:abstractNumId w:val="5"/>
  </w:num>
  <w:num w:numId="5" w16cid:durableId="1903327018">
    <w:abstractNumId w:val="6"/>
  </w:num>
  <w:num w:numId="6" w16cid:durableId="108595048">
    <w:abstractNumId w:val="0"/>
  </w:num>
  <w:num w:numId="7" w16cid:durableId="420103329">
    <w:abstractNumId w:val="1"/>
  </w:num>
  <w:num w:numId="8" w16cid:durableId="997074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53"/>
    <w:rsid w:val="00000BC9"/>
    <w:rsid w:val="000220CB"/>
    <w:rsid w:val="000677A8"/>
    <w:rsid w:val="00070621"/>
    <w:rsid w:val="00077B80"/>
    <w:rsid w:val="000A158E"/>
    <w:rsid w:val="000B3F13"/>
    <w:rsid w:val="000D7C2F"/>
    <w:rsid w:val="000F05C1"/>
    <w:rsid w:val="000F49C9"/>
    <w:rsid w:val="00116B78"/>
    <w:rsid w:val="00123D55"/>
    <w:rsid w:val="001254D1"/>
    <w:rsid w:val="001274F5"/>
    <w:rsid w:val="001768D7"/>
    <w:rsid w:val="001916CA"/>
    <w:rsid w:val="001946DD"/>
    <w:rsid w:val="00195D37"/>
    <w:rsid w:val="00196C97"/>
    <w:rsid w:val="001A689F"/>
    <w:rsid w:val="001B1D27"/>
    <w:rsid w:val="001B7623"/>
    <w:rsid w:val="001C49B8"/>
    <w:rsid w:val="001D21BC"/>
    <w:rsid w:val="001D72D5"/>
    <w:rsid w:val="001E4FBA"/>
    <w:rsid w:val="001E63FE"/>
    <w:rsid w:val="001F048A"/>
    <w:rsid w:val="001F49DA"/>
    <w:rsid w:val="00215103"/>
    <w:rsid w:val="00224621"/>
    <w:rsid w:val="002346D0"/>
    <w:rsid w:val="00245970"/>
    <w:rsid w:val="0025401A"/>
    <w:rsid w:val="0026054B"/>
    <w:rsid w:val="00263BC3"/>
    <w:rsid w:val="00272C2C"/>
    <w:rsid w:val="00295E1F"/>
    <w:rsid w:val="002A7C1F"/>
    <w:rsid w:val="002C762A"/>
    <w:rsid w:val="002E1868"/>
    <w:rsid w:val="002E5FEF"/>
    <w:rsid w:val="002E637B"/>
    <w:rsid w:val="0032470E"/>
    <w:rsid w:val="003333CD"/>
    <w:rsid w:val="00334E38"/>
    <w:rsid w:val="00344973"/>
    <w:rsid w:val="00346A74"/>
    <w:rsid w:val="0035392A"/>
    <w:rsid w:val="0038668F"/>
    <w:rsid w:val="00391485"/>
    <w:rsid w:val="00392926"/>
    <w:rsid w:val="003A1091"/>
    <w:rsid w:val="003A7B11"/>
    <w:rsid w:val="003B2EB8"/>
    <w:rsid w:val="003B5168"/>
    <w:rsid w:val="003C0B64"/>
    <w:rsid w:val="003C3A75"/>
    <w:rsid w:val="003C51B7"/>
    <w:rsid w:val="003D0339"/>
    <w:rsid w:val="003E4539"/>
    <w:rsid w:val="003F0847"/>
    <w:rsid w:val="00402755"/>
    <w:rsid w:val="004306FE"/>
    <w:rsid w:val="004456B3"/>
    <w:rsid w:val="00490D38"/>
    <w:rsid w:val="004963FE"/>
    <w:rsid w:val="004C3EA0"/>
    <w:rsid w:val="004C7FD3"/>
    <w:rsid w:val="004D3218"/>
    <w:rsid w:val="004F6C57"/>
    <w:rsid w:val="00500C39"/>
    <w:rsid w:val="005273F0"/>
    <w:rsid w:val="005444AC"/>
    <w:rsid w:val="00544D43"/>
    <w:rsid w:val="00547EA2"/>
    <w:rsid w:val="005523F6"/>
    <w:rsid w:val="005530E1"/>
    <w:rsid w:val="0055424A"/>
    <w:rsid w:val="0055457A"/>
    <w:rsid w:val="00562301"/>
    <w:rsid w:val="00562946"/>
    <w:rsid w:val="0056354B"/>
    <w:rsid w:val="005710CB"/>
    <w:rsid w:val="00592F23"/>
    <w:rsid w:val="005C7B9E"/>
    <w:rsid w:val="005C7BEA"/>
    <w:rsid w:val="005F290D"/>
    <w:rsid w:val="005F5551"/>
    <w:rsid w:val="00605EF8"/>
    <w:rsid w:val="00626901"/>
    <w:rsid w:val="006346F5"/>
    <w:rsid w:val="00640DF3"/>
    <w:rsid w:val="006438AD"/>
    <w:rsid w:val="00651B64"/>
    <w:rsid w:val="0066469D"/>
    <w:rsid w:val="00671685"/>
    <w:rsid w:val="00671A91"/>
    <w:rsid w:val="006757D9"/>
    <w:rsid w:val="0067598B"/>
    <w:rsid w:val="00675DC1"/>
    <w:rsid w:val="00677789"/>
    <w:rsid w:val="00682A4F"/>
    <w:rsid w:val="006A56DC"/>
    <w:rsid w:val="006C1E3B"/>
    <w:rsid w:val="006C343C"/>
    <w:rsid w:val="006D339B"/>
    <w:rsid w:val="006E4F06"/>
    <w:rsid w:val="006F0688"/>
    <w:rsid w:val="007211D9"/>
    <w:rsid w:val="00733930"/>
    <w:rsid w:val="00734A17"/>
    <w:rsid w:val="00737EDE"/>
    <w:rsid w:val="00743D1D"/>
    <w:rsid w:val="007577B1"/>
    <w:rsid w:val="0077167E"/>
    <w:rsid w:val="00792FBF"/>
    <w:rsid w:val="007A03C7"/>
    <w:rsid w:val="007A295B"/>
    <w:rsid w:val="007B30D7"/>
    <w:rsid w:val="007B4E82"/>
    <w:rsid w:val="007B51B1"/>
    <w:rsid w:val="007D7BE3"/>
    <w:rsid w:val="007E3087"/>
    <w:rsid w:val="007E5AC9"/>
    <w:rsid w:val="007E7C02"/>
    <w:rsid w:val="00823905"/>
    <w:rsid w:val="0082542B"/>
    <w:rsid w:val="00834979"/>
    <w:rsid w:val="00835770"/>
    <w:rsid w:val="00841D0B"/>
    <w:rsid w:val="00852E4F"/>
    <w:rsid w:val="00856E2E"/>
    <w:rsid w:val="00862825"/>
    <w:rsid w:val="008713F8"/>
    <w:rsid w:val="00873872"/>
    <w:rsid w:val="008924EE"/>
    <w:rsid w:val="008A06F8"/>
    <w:rsid w:val="008B2348"/>
    <w:rsid w:val="008B27D1"/>
    <w:rsid w:val="008C72B9"/>
    <w:rsid w:val="008D7CA9"/>
    <w:rsid w:val="008F44B3"/>
    <w:rsid w:val="00907FFC"/>
    <w:rsid w:val="009162AC"/>
    <w:rsid w:val="00925D60"/>
    <w:rsid w:val="00932A01"/>
    <w:rsid w:val="00937F4C"/>
    <w:rsid w:val="0096167D"/>
    <w:rsid w:val="009B53D7"/>
    <w:rsid w:val="009B6816"/>
    <w:rsid w:val="009C7BEF"/>
    <w:rsid w:val="009F0930"/>
    <w:rsid w:val="009F154A"/>
    <w:rsid w:val="00A07CD6"/>
    <w:rsid w:val="00A1099C"/>
    <w:rsid w:val="00A32C1E"/>
    <w:rsid w:val="00A36C0B"/>
    <w:rsid w:val="00A425DC"/>
    <w:rsid w:val="00A62ED4"/>
    <w:rsid w:val="00A74092"/>
    <w:rsid w:val="00A74FD0"/>
    <w:rsid w:val="00A91DF7"/>
    <w:rsid w:val="00A94507"/>
    <w:rsid w:val="00AA5F63"/>
    <w:rsid w:val="00AB3ED7"/>
    <w:rsid w:val="00AB5163"/>
    <w:rsid w:val="00AB62DE"/>
    <w:rsid w:val="00AD1643"/>
    <w:rsid w:val="00AE0309"/>
    <w:rsid w:val="00AE6B5A"/>
    <w:rsid w:val="00B16787"/>
    <w:rsid w:val="00B510ED"/>
    <w:rsid w:val="00B560FA"/>
    <w:rsid w:val="00B72A71"/>
    <w:rsid w:val="00B84AAA"/>
    <w:rsid w:val="00B86509"/>
    <w:rsid w:val="00B95D25"/>
    <w:rsid w:val="00B976CC"/>
    <w:rsid w:val="00BB05E1"/>
    <w:rsid w:val="00BB5AC2"/>
    <w:rsid w:val="00BC24CE"/>
    <w:rsid w:val="00BC51C1"/>
    <w:rsid w:val="00BC73AC"/>
    <w:rsid w:val="00BD49CC"/>
    <w:rsid w:val="00BE19C8"/>
    <w:rsid w:val="00BE3394"/>
    <w:rsid w:val="00BF3DE2"/>
    <w:rsid w:val="00C00819"/>
    <w:rsid w:val="00C20453"/>
    <w:rsid w:val="00C22CCD"/>
    <w:rsid w:val="00C32BF3"/>
    <w:rsid w:val="00C33280"/>
    <w:rsid w:val="00C41848"/>
    <w:rsid w:val="00C51D27"/>
    <w:rsid w:val="00C54673"/>
    <w:rsid w:val="00C625CB"/>
    <w:rsid w:val="00C651CE"/>
    <w:rsid w:val="00C83040"/>
    <w:rsid w:val="00C9639D"/>
    <w:rsid w:val="00CA4EBE"/>
    <w:rsid w:val="00CA578A"/>
    <w:rsid w:val="00CB5921"/>
    <w:rsid w:val="00CC31B7"/>
    <w:rsid w:val="00CC4735"/>
    <w:rsid w:val="00CD4FCA"/>
    <w:rsid w:val="00CD5FEC"/>
    <w:rsid w:val="00CF1EA9"/>
    <w:rsid w:val="00CF4A9B"/>
    <w:rsid w:val="00D0159B"/>
    <w:rsid w:val="00D03AF0"/>
    <w:rsid w:val="00D052CC"/>
    <w:rsid w:val="00D06998"/>
    <w:rsid w:val="00D06F45"/>
    <w:rsid w:val="00D10CF3"/>
    <w:rsid w:val="00D13222"/>
    <w:rsid w:val="00D24F5B"/>
    <w:rsid w:val="00D72063"/>
    <w:rsid w:val="00D8348F"/>
    <w:rsid w:val="00DA40A1"/>
    <w:rsid w:val="00DA64DD"/>
    <w:rsid w:val="00DA668A"/>
    <w:rsid w:val="00DC3A6A"/>
    <w:rsid w:val="00DD1A0B"/>
    <w:rsid w:val="00DE7A10"/>
    <w:rsid w:val="00E15012"/>
    <w:rsid w:val="00E269F6"/>
    <w:rsid w:val="00E27C48"/>
    <w:rsid w:val="00E40DF0"/>
    <w:rsid w:val="00E42703"/>
    <w:rsid w:val="00E443D4"/>
    <w:rsid w:val="00E46386"/>
    <w:rsid w:val="00E63EF5"/>
    <w:rsid w:val="00E66576"/>
    <w:rsid w:val="00E667FD"/>
    <w:rsid w:val="00E71F09"/>
    <w:rsid w:val="00E73FA0"/>
    <w:rsid w:val="00E811A8"/>
    <w:rsid w:val="00E86C7D"/>
    <w:rsid w:val="00E93C8E"/>
    <w:rsid w:val="00E95723"/>
    <w:rsid w:val="00E96D60"/>
    <w:rsid w:val="00EA388A"/>
    <w:rsid w:val="00EB0444"/>
    <w:rsid w:val="00EB40DB"/>
    <w:rsid w:val="00EC2F57"/>
    <w:rsid w:val="00F00685"/>
    <w:rsid w:val="00F20851"/>
    <w:rsid w:val="00F33C15"/>
    <w:rsid w:val="00F46DA3"/>
    <w:rsid w:val="00F7229B"/>
    <w:rsid w:val="00F91761"/>
    <w:rsid w:val="00F91881"/>
    <w:rsid w:val="00FA428E"/>
    <w:rsid w:val="00FC308C"/>
    <w:rsid w:val="00FC518A"/>
    <w:rsid w:val="00FD1871"/>
    <w:rsid w:val="00FD29E7"/>
    <w:rsid w:val="00FE64F8"/>
    <w:rsid w:val="00FE7A67"/>
    <w:rsid w:val="00FF496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D005202"/>
  <w15:docId w15:val="{1B7D2C5E-B5D9-4E1E-8CC2-F062C42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74F5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1274F5"/>
    <w:pPr>
      <w:ind w:left="720"/>
      <w:contextualSpacing/>
    </w:pPr>
  </w:style>
  <w:style w:type="character" w:customStyle="1" w:styleId="ConsNonformat">
    <w:name w:val="ConsNonformat Знак"/>
    <w:basedOn w:val="a0"/>
    <w:link w:val="ConsNonformat0"/>
    <w:locked/>
    <w:rsid w:val="001274F5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2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footnote text"/>
    <w:basedOn w:val="a"/>
    <w:link w:val="a6"/>
    <w:unhideWhenUsed/>
    <w:rsid w:val="001274F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2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274F5"/>
    <w:rPr>
      <w:vertAlign w:val="superscript"/>
    </w:rPr>
  </w:style>
  <w:style w:type="paragraph" w:customStyle="1" w:styleId="a8">
    <w:name w:val="Знак Знак Знак Знак Знак Знак Знак Знак Знак Знак"/>
    <w:basedOn w:val="a"/>
    <w:rsid w:val="00127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27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2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274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74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0677A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67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677A8"/>
    <w:rPr>
      <w:vertAlign w:val="superscript"/>
    </w:rPr>
  </w:style>
  <w:style w:type="paragraph" w:styleId="af3">
    <w:name w:val="Title"/>
    <w:basedOn w:val="a"/>
    <w:next w:val="a"/>
    <w:link w:val="af4"/>
    <w:uiPriority w:val="10"/>
    <w:qFormat/>
    <w:rsid w:val="00B865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B86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01EA-57E4-430B-A379-48B94490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Филаткина Юлия Федоровна</cp:lastModifiedBy>
  <cp:revision>9</cp:revision>
  <cp:lastPrinted>2023-03-09T00:47:00Z</cp:lastPrinted>
  <dcterms:created xsi:type="dcterms:W3CDTF">2023-03-10T00:20:00Z</dcterms:created>
  <dcterms:modified xsi:type="dcterms:W3CDTF">2023-03-21T07:01:00Z</dcterms:modified>
</cp:coreProperties>
</file>