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0C8" w:rsidRDefault="002E50C8">
      <w:pPr>
        <w:pStyle w:val="ConsPlusTitlePage"/>
      </w:pPr>
      <w:r>
        <w:br/>
      </w:r>
    </w:p>
    <w:p w:rsidR="002E50C8" w:rsidRDefault="002E50C8">
      <w:pPr>
        <w:pStyle w:val="ConsPlusNormal"/>
        <w:jc w:val="both"/>
        <w:outlineLvl w:val="0"/>
      </w:pPr>
    </w:p>
    <w:p w:rsidR="002E50C8" w:rsidRDefault="002E50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50C8" w:rsidRDefault="002E50C8">
      <w:pPr>
        <w:pStyle w:val="ConsPlusTitle"/>
        <w:jc w:val="center"/>
      </w:pPr>
    </w:p>
    <w:p w:rsidR="002E50C8" w:rsidRDefault="002E50C8">
      <w:pPr>
        <w:pStyle w:val="ConsPlusTitle"/>
        <w:jc w:val="center"/>
      </w:pPr>
      <w:r>
        <w:t>ПОСТАНОВЛЕНИЕ</w:t>
      </w:r>
    </w:p>
    <w:p w:rsidR="002E50C8" w:rsidRDefault="002E50C8">
      <w:pPr>
        <w:pStyle w:val="ConsPlusTitle"/>
        <w:jc w:val="center"/>
      </w:pPr>
      <w:r>
        <w:t>от 30 мая 2023 г. N 866</w:t>
      </w:r>
    </w:p>
    <w:p w:rsidR="002E50C8" w:rsidRDefault="002E50C8">
      <w:pPr>
        <w:pStyle w:val="ConsPlusTitle"/>
        <w:jc w:val="center"/>
      </w:pPr>
    </w:p>
    <w:p w:rsidR="002E50C8" w:rsidRDefault="002E50C8">
      <w:pPr>
        <w:pStyle w:val="ConsPlusTitle"/>
        <w:jc w:val="center"/>
      </w:pPr>
      <w:r>
        <w:t>ОБ ОСОБЕННОСТЯХ</w:t>
      </w:r>
    </w:p>
    <w:p w:rsidR="002E50C8" w:rsidRDefault="002E50C8">
      <w:pPr>
        <w:pStyle w:val="ConsPlusTitle"/>
        <w:jc w:val="center"/>
      </w:pPr>
      <w:r>
        <w:t>ПРОВЕДЕНИЯ МЕДИЦИНСКИХ ОСМОТРОВ С ИСПОЛЬЗОВАНИЕМ МЕДИЦИНСКИХ</w:t>
      </w:r>
    </w:p>
    <w:p w:rsidR="002E50C8" w:rsidRDefault="002E50C8">
      <w:pPr>
        <w:pStyle w:val="ConsPlusTitle"/>
        <w:jc w:val="center"/>
      </w:pPr>
      <w:r>
        <w:t>ИЗДЕЛИЙ, ОБЕСПЕЧИВАЮЩИХ АВТОМАТИЗИРОВАННУЮ ДИСТАНЦИОННУЮ</w:t>
      </w:r>
    </w:p>
    <w:p w:rsidR="002E50C8" w:rsidRDefault="002E50C8">
      <w:pPr>
        <w:pStyle w:val="ConsPlusTitle"/>
        <w:jc w:val="center"/>
      </w:pPr>
      <w:r>
        <w:t>ПЕРЕДАЧУ ИНФОРМАЦИИ О СОСТОЯНИИ ЗДОРОВЬЯ РАБОТНИКОВ</w:t>
      </w:r>
    </w:p>
    <w:p w:rsidR="002E50C8" w:rsidRDefault="002E50C8">
      <w:pPr>
        <w:pStyle w:val="ConsPlusTitle"/>
        <w:jc w:val="center"/>
      </w:pPr>
      <w:r>
        <w:t>И ДИСТАНЦИОННЫЙ КОНТРОЛЬ СОСТОЯНИЯ ИХ ЗДОРОВЬЯ</w:t>
      </w:r>
    </w:p>
    <w:p w:rsidR="002E50C8" w:rsidRDefault="002E50C8">
      <w:pPr>
        <w:pStyle w:val="ConsPlusNormal"/>
        <w:ind w:firstLine="540"/>
        <w:jc w:val="both"/>
      </w:pPr>
    </w:p>
    <w:p w:rsidR="002E50C8" w:rsidRDefault="002E50C8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12 статьи 46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особенности</w:t>
        </w:r>
      </w:hyperlink>
      <w:r>
        <w:t xml:space="preserve">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2023 г. и действует до 1 сентября 2029 г.</w:t>
      </w:r>
    </w:p>
    <w:p w:rsidR="002E50C8" w:rsidRDefault="002E50C8">
      <w:pPr>
        <w:pStyle w:val="ConsPlusNormal"/>
        <w:jc w:val="both"/>
      </w:pPr>
    </w:p>
    <w:p w:rsidR="002E50C8" w:rsidRDefault="002E50C8">
      <w:pPr>
        <w:pStyle w:val="ConsPlusNormal"/>
        <w:jc w:val="right"/>
      </w:pPr>
      <w:r>
        <w:t>Председатель Правительства</w:t>
      </w:r>
    </w:p>
    <w:p w:rsidR="002E50C8" w:rsidRDefault="002E50C8">
      <w:pPr>
        <w:pStyle w:val="ConsPlusNormal"/>
        <w:jc w:val="right"/>
      </w:pPr>
      <w:r>
        <w:t>Российской Федерации</w:t>
      </w:r>
    </w:p>
    <w:p w:rsidR="002E50C8" w:rsidRDefault="002E50C8">
      <w:pPr>
        <w:pStyle w:val="ConsPlusNormal"/>
        <w:jc w:val="right"/>
      </w:pPr>
      <w:r>
        <w:t>М.МИШУСТИН</w:t>
      </w:r>
    </w:p>
    <w:p w:rsidR="002E50C8" w:rsidRDefault="002E50C8">
      <w:pPr>
        <w:pStyle w:val="ConsPlusNormal"/>
        <w:jc w:val="both"/>
      </w:pPr>
    </w:p>
    <w:p w:rsidR="002E50C8" w:rsidRDefault="002E50C8">
      <w:pPr>
        <w:pStyle w:val="ConsPlusNormal"/>
        <w:jc w:val="both"/>
      </w:pPr>
    </w:p>
    <w:p w:rsidR="002E50C8" w:rsidRDefault="002E50C8">
      <w:pPr>
        <w:pStyle w:val="ConsPlusNormal"/>
        <w:jc w:val="both"/>
      </w:pPr>
    </w:p>
    <w:p w:rsidR="002E50C8" w:rsidRDefault="002E50C8">
      <w:pPr>
        <w:pStyle w:val="ConsPlusNormal"/>
        <w:jc w:val="both"/>
      </w:pPr>
    </w:p>
    <w:p w:rsidR="002E50C8" w:rsidRDefault="002E50C8">
      <w:pPr>
        <w:pStyle w:val="ConsPlusNormal"/>
        <w:jc w:val="both"/>
      </w:pPr>
    </w:p>
    <w:p w:rsidR="002E50C8" w:rsidRDefault="002E50C8">
      <w:pPr>
        <w:pStyle w:val="ConsPlusNormal"/>
        <w:jc w:val="right"/>
        <w:outlineLvl w:val="0"/>
      </w:pPr>
      <w:r>
        <w:t>Утверждены</w:t>
      </w:r>
    </w:p>
    <w:p w:rsidR="002E50C8" w:rsidRDefault="002E50C8">
      <w:pPr>
        <w:pStyle w:val="ConsPlusNormal"/>
        <w:jc w:val="right"/>
      </w:pPr>
      <w:r>
        <w:t>постановлением Правительства</w:t>
      </w:r>
    </w:p>
    <w:p w:rsidR="002E50C8" w:rsidRDefault="002E50C8">
      <w:pPr>
        <w:pStyle w:val="ConsPlusNormal"/>
        <w:jc w:val="right"/>
      </w:pPr>
      <w:r>
        <w:t>Российской Федерации</w:t>
      </w:r>
    </w:p>
    <w:p w:rsidR="002E50C8" w:rsidRDefault="002E50C8">
      <w:pPr>
        <w:pStyle w:val="ConsPlusNormal"/>
        <w:jc w:val="right"/>
      </w:pPr>
      <w:r>
        <w:t>от 30 мая 2023 г. N 866</w:t>
      </w:r>
    </w:p>
    <w:p w:rsidR="002E50C8" w:rsidRDefault="002E50C8">
      <w:pPr>
        <w:pStyle w:val="ConsPlusNormal"/>
        <w:jc w:val="both"/>
      </w:pPr>
    </w:p>
    <w:p w:rsidR="002E50C8" w:rsidRDefault="002E50C8">
      <w:pPr>
        <w:pStyle w:val="ConsPlusTitle"/>
        <w:jc w:val="center"/>
      </w:pPr>
      <w:bookmarkStart w:id="0" w:name="P29"/>
      <w:bookmarkEnd w:id="0"/>
      <w:r>
        <w:t>ОСОБЕННОСТИ</w:t>
      </w:r>
    </w:p>
    <w:p w:rsidR="002E50C8" w:rsidRDefault="002E50C8">
      <w:pPr>
        <w:pStyle w:val="ConsPlusTitle"/>
        <w:jc w:val="center"/>
      </w:pPr>
      <w:r>
        <w:t>ПРОВЕДЕНИЯ МЕДИЦИНСКИХ ОСМОТРОВ С ИСПОЛЬЗОВАНИЕМ МЕДИЦИНСКИХ</w:t>
      </w:r>
    </w:p>
    <w:p w:rsidR="002E50C8" w:rsidRDefault="002E50C8">
      <w:pPr>
        <w:pStyle w:val="ConsPlusTitle"/>
        <w:jc w:val="center"/>
      </w:pPr>
      <w:r>
        <w:t>ИЗДЕЛИЙ, ОБЕСПЕЧИВАЮЩИХ АВТОМАТИЗИРОВАННУЮ ДИСТАНЦИОННУЮ</w:t>
      </w:r>
    </w:p>
    <w:p w:rsidR="002E50C8" w:rsidRDefault="002E50C8">
      <w:pPr>
        <w:pStyle w:val="ConsPlusTitle"/>
        <w:jc w:val="center"/>
      </w:pPr>
      <w:r>
        <w:t>ПЕРЕДАЧУ ИНФОРМАЦИИ О СОСТОЯНИИ ЗДОРОВЬЯ РАБОТНИКОВ</w:t>
      </w:r>
    </w:p>
    <w:p w:rsidR="002E50C8" w:rsidRDefault="002E50C8">
      <w:pPr>
        <w:pStyle w:val="ConsPlusTitle"/>
        <w:jc w:val="center"/>
      </w:pPr>
      <w:r>
        <w:t>И ДИСТАНЦИОННЫЙ КОНТРОЛЬ СОСТОЯНИЯ ИХ ЗДОРОВЬЯ</w:t>
      </w:r>
    </w:p>
    <w:p w:rsidR="002E50C8" w:rsidRDefault="002E50C8">
      <w:pPr>
        <w:pStyle w:val="ConsPlusNormal"/>
        <w:jc w:val="both"/>
      </w:pPr>
    </w:p>
    <w:p w:rsidR="002E50C8" w:rsidRDefault="002E50C8">
      <w:pPr>
        <w:pStyle w:val="ConsPlusNormal"/>
        <w:ind w:firstLine="540"/>
        <w:jc w:val="both"/>
      </w:pPr>
      <w:r>
        <w:t xml:space="preserve">1. Настоящий документ устанавливает 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(далее соответственно - медицинские изделия, медицинский осмотр), включая необходимость проведения визуального осмотра, требования к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химико-токсикологических исследований наличия (отсутствия) в организме человека наркотических </w:t>
      </w:r>
      <w:r>
        <w:lastRenderedPageBreak/>
        <w:t>средств, психотропных веществ и их метаболитов (далее - химико-токсикологическое исследование) в отношении работников, проходящих медицинский осмотр.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2. В соответствии с настоящим документом допускается проведение медицинских осмотров, указанных в </w:t>
      </w:r>
      <w:hyperlink r:id="rId5">
        <w:r>
          <w:rPr>
            <w:color w:val="0000FF"/>
          </w:rPr>
          <w:t>пунктах 4</w:t>
        </w:r>
      </w:hyperlink>
      <w:r>
        <w:t xml:space="preserve">, </w:t>
      </w:r>
      <w:hyperlink r:id="rId6">
        <w:r>
          <w:rPr>
            <w:color w:val="0000FF"/>
          </w:rPr>
          <w:t>4.1</w:t>
        </w:r>
      </w:hyperlink>
      <w:r>
        <w:t xml:space="preserve"> и </w:t>
      </w:r>
      <w:hyperlink r:id="rId7">
        <w:r>
          <w:rPr>
            <w:color w:val="0000FF"/>
          </w:rPr>
          <w:t>5 части 2 статьи 46</w:t>
        </w:r>
      </w:hyperlink>
      <w:r>
        <w:t xml:space="preserve"> Федерального закона "Об основах охраны здоровья граждан в Российской Федерации", с использованием медицинских изделий в отношении работников, проходящих медицинский осмотр.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3. При проведении медицинских осмотров используются медицинские изделия, одновременно соответствующие следующим требованиям: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а) медицинское изделие прошло государственную регистрацию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государственной регистрации медицинских изделий, утвержденными постановлением Правительства Российской Федерации от 27 декабря 2012 г. N 1416 "Об утверждении Правил государственной регистрации медицинских изделий", или регистрацию в соответствии с международными договорами и актами, составляющими право Евразийского экономического союза;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б) медицинское изделие имеет функцию автоматизированной дистанционной передачи данных и (или) имеет в составе программное обеспечение и (или) иные технические средства, обеспечивающие дистанционную передачу информации о состоянии здоровья работников и дистанционный контроль состояния их здоровья, в том числе оформление медицинским работником медицинских заключений в соответствии с </w:t>
      </w:r>
      <w:hyperlink w:anchor="P60">
        <w:r>
          <w:rPr>
            <w:color w:val="0000FF"/>
          </w:rPr>
          <w:t>пунктом 14</w:t>
        </w:r>
      </w:hyperlink>
      <w:r>
        <w:t xml:space="preserve"> настоящего документа;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в) медицинское изделие обеспечивает автоматический контроль целостности медицинского изделия, его программного обеспечения, актуальности сведений о результатах поверки медицинского изделия, содержащихся в Федеральном информационном фонде по обеспечению единства измерений, условий эксплуатации медицинского изделия, указанных в руководстве по эксплуатации медицинского изделия;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г) медицинское изделие представляет единые измерительные комплексы, являющиеся средствами измерений утвержденного типа и поверенные в соответствии с требованиями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обеспечении единства измерений";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д) медицинское изделие содержит в своем составе программное обеспечение, которое включено в единый реестр российских программ для электронных вычислительных машин и баз данных и (или)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Федерации;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е) медицинское изделие обладает техническими характеристиками, обеспечивающими возможность визуального осмотра медицинским работником, проводящим медицинский осмотр, работника, проходящего медицинский осмотр.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4. Поверка медицинских изделий осуществляется аккредитованной организацией в соответствии с </w:t>
      </w:r>
      <w:hyperlink r:id="rId10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 Проведение поэлементной поверки средств измерений, входящих в состав медицинского изделия, без проведения поверки медицинского изделия не допускается.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5. Применение, эксплуатация, в том числе техническое обслуживание и ремонт, медицинского изделия осуществляются в соответствии с эксплуатационной документацией производителя (изготовителя) на медицинское изделие.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6. Медицинский осмотр проводится медицинским работником медицинской организации или иной организации, имеющей лицензию на осуществление медицинской деятельности, предусматривающей выполнение работ (услуг) по соответствующим медицинским осмотрам.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lastRenderedPageBreak/>
        <w:t>7. Медицинские работники, проводящие медицинские осмотры с использованием медицинских изделий, проходят обучение по программам дополнительного профессионального образования - программам повышения квалификации по вопросам организации и порядка проведения медицинских осмотров с использованием медицинских изделий в объеме не менее 36 часов.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8. Сведения о медицинских работниках, проводящих медицинские осмотры с использованием медицинских изделий, вносятся в единую государственную информационную систему в сфере здравоохранения в соответствии с </w:t>
      </w:r>
      <w:hyperlink r:id="rId11">
        <w:r>
          <w:rPr>
            <w:color w:val="0000FF"/>
          </w:rPr>
          <w:t>пунктом 3 части 3 статьи 91.1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9. Медицинские работники, проводящие медицинские осмотры с использованием медицинских изделий, до проведения медицинских осмотров проходят аутентификацию в федеральной государственной информационной </w:t>
      </w:r>
      <w:hyperlink r:id="rId12">
        <w:r>
          <w:rPr>
            <w:color w:val="0000FF"/>
          </w:rPr>
          <w:t>системе</w:t>
        </w:r>
      </w:hyperlink>
      <w: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E50C8" w:rsidRDefault="002E50C8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10. При проведении медицинских осмотров с использованием медицинских изделий медицинской организацией или работодателем должна быть обеспечена идентификация личности работника, проходящего медицинский осмотр, исключающая прохождение медицинского осмотра с использованием медицинских изделий иным лицом.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Идентификация личности работника, проходящего медицинский осмотр, осуществляется с использованием медицинских изделий, или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государственной информационной системы "Единая система идентификации и аутентификации физических лиц с использованием биометрических персональных данных" в порядке, установленном </w:t>
      </w:r>
      <w:hyperlink r:id="rId13">
        <w:r>
          <w:rPr>
            <w:color w:val="0000FF"/>
          </w:rPr>
          <w:t>статьей 10</w:t>
        </w:r>
      </w:hyperlink>
      <w: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и в соответствии с </w:t>
      </w:r>
      <w:hyperlink r:id="rId14">
        <w:r>
          <w:rPr>
            <w:color w:val="0000FF"/>
          </w:rPr>
          <w:t>пунктами 2</w:t>
        </w:r>
      </w:hyperlink>
      <w:r>
        <w:t xml:space="preserve"> и </w:t>
      </w:r>
      <w:hyperlink r:id="rId15">
        <w:r>
          <w:rPr>
            <w:color w:val="0000FF"/>
          </w:rPr>
          <w:t>3 части 1 статьи 15</w:t>
        </w:r>
      </w:hyperlink>
      <w:r>
        <w:t xml:space="preserve"> указанного Федерального закона с использованием для аутентификации биометрических персональных данных работника в информационных системах организаций, осуществляющих аутентификацию на основе биометрических персональных данных физических лиц, с использованием векторов единой биометрической системы, в том числе с применением векторов, являющихся результатом обработки биометрических персональных данных, размещенных в единой биометрической системе в соответствии с </w:t>
      </w:r>
      <w:hyperlink r:id="rId16">
        <w:r>
          <w:rPr>
            <w:color w:val="0000FF"/>
          </w:rPr>
          <w:t>частью 9 статьи 4</w:t>
        </w:r>
      </w:hyperlink>
      <w:r>
        <w:t xml:space="preserve"> указанного Федерального закона.</w:t>
      </w:r>
    </w:p>
    <w:p w:rsidR="002E50C8" w:rsidRDefault="002E50C8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В случае проведения медицинских осмотров с использованием медицинских изделий в отношении физического лица, являющегося индивидуальным предпринимателем, не являющимся работодателем, или физического лица, который не является индивидуальным предпринимателем и которому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такси, аутентификация их личности обеспечивается медицинской организацией с учетом требований </w:t>
      </w:r>
      <w:hyperlink w:anchor="P50">
        <w:r>
          <w:rPr>
            <w:color w:val="0000FF"/>
          </w:rPr>
          <w:t>абзаца первого</w:t>
        </w:r>
      </w:hyperlink>
      <w:r>
        <w:t xml:space="preserve"> настоящего пункта.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11. Сбор, хранение и передача персональных данных по защищенным каналам связи осуществляются в соответствии с </w:t>
      </w:r>
      <w:hyperlink r:id="rId17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с соблюдением врачебной тайны.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12. Медицинским изделием осуществляется сбор показателей о состоянии здоровья, </w:t>
      </w:r>
      <w:r>
        <w:lastRenderedPageBreak/>
        <w:t xml:space="preserve">установленных в порядках проведения медицинских осмотров, утвержденных в соответствии с </w:t>
      </w:r>
      <w:hyperlink r:id="rId18">
        <w:r>
          <w:rPr>
            <w:color w:val="0000FF"/>
          </w:rPr>
          <w:t>частью 7 статьи 46</w:t>
        </w:r>
      </w:hyperlink>
      <w:r>
        <w:t xml:space="preserve"> Федерального закона "Об основах охраны здоровья граждан в Российской Федерации", а также показателей об условиях эксплуатации медицинских изделий, указанных производителем в руководстве по эксплуатации медицинского изделия, требований к освещенности и микроклимату помещений, в которых проводятся медицинские осмотры.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13. При проведении медицинских осмотров с использованием медицинских изделий медицинской организацией или иной организацией, осуществляющей медицинскую деятельность, обеспечивается: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а) запись средствами видеофиксации процессов проведения идентификации личности работника и измерений с согласия работника, проходящего медицинский осмотр;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б) выполнение требований эксплуатационной документации на медицинское изделие;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в) хранение не менее 30 суток информации о результатах проведенных измерений с использованием медицинского изделия, а также результатах медицинского осмотра;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г) передача сведений об оформленных в отношении водителей транспортных средств медицинских заключениях и условиях применения медицинских изделий в орган или организацию, уполномоченные Министерством транспорта Российской Федерации, в целях обеспечения достоверности результатов контроля целостности, актуальности сведений о результатах поверки и условий применения медицинских изделий, а также работодателю или лицам, указанным в </w:t>
      </w:r>
      <w:hyperlink w:anchor="P52">
        <w:r>
          <w:rPr>
            <w:color w:val="0000FF"/>
          </w:rPr>
          <w:t>абзаце третьем пункта 10</w:t>
        </w:r>
      </w:hyperlink>
      <w:r>
        <w:t xml:space="preserve"> настоящего документа, для обеспечения возможности формирования реквизитов путевых листов, в том числе в форме электронного документа. Передача сведений в указанные орган или организацию, а также работодателю осуществляется в соответствии с соглашением об информационном взаимодействии, заключенным между органом или организацией, уполномоченными Министерством транспорта Российской Федерации, и медицинской организацией, и между медицинской организацией и работодателем соответственно.</w:t>
      </w:r>
    </w:p>
    <w:p w:rsidR="002E50C8" w:rsidRDefault="002E50C8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14. Медицинское заключение по результатам медицинского осмотра, проведенного с использованием медицинского изделия, оформляется медицинским работником, проводящим медицинский осмотр, с использованием усиленной квалифицированной электронной подписи медицинского работника с учетом полученных дистанционным способом медицинских показателей работника, проходящего медицинский осмотр.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15. Медицинская организация посредством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(в случае если государственная информационная система в сфере здравоохранения субъекта Российской Федерации выполняет функции медицинской информационной системы медицинской организации) передает работодателю медицинское заключение по результатам медицинского осмотра лиц, не являющихся водителями транспортных средств.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16. Химико-токсикологические исследования, предусмотренные </w:t>
      </w:r>
      <w:hyperlink r:id="rId19">
        <w:r>
          <w:rPr>
            <w:color w:val="0000FF"/>
          </w:rPr>
          <w:t>пунктом 11 статьи 46</w:t>
        </w:r>
      </w:hyperlink>
      <w:r>
        <w:t xml:space="preserve"> Федерального закона "Об основах охраны здоровья граждан в Российской Федерации", проводятся в целях обнаружения и последующей идентификации в образцах биологических объектов (мочи) работника, проходящего медицинский осмотр, наркотических средств, психотропных веществ и их метаболитов.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17. Отбор биологического объекта (мочи) и химико-токсикологические исследования проводятся в соответствии с правилами, утвержденными Министерством здравоохранения Российской Федерации на основании </w:t>
      </w:r>
      <w:hyperlink r:id="rId20">
        <w:r>
          <w:rPr>
            <w:color w:val="0000FF"/>
          </w:rPr>
          <w:t>пункта 18 части 2 статьи 14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18. Химико-токсикологические исследования проводятся в два этапа: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lastRenderedPageBreak/>
        <w:t>а) предварительные химико-токсикологические исследования, направленные на получение объективных результатов выявления в образцах биологического объекта (мочи) наркотических средств, психотропных веществ и их метаболитов;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б) подтверждающие химико-токсикологические исследования, направленные на идентификацию в образцах биологического объекта (мочи) наркотических средств, психотропных веществ и их метаболитов в случае, предусмотренном </w:t>
      </w:r>
      <w:hyperlink w:anchor="P71">
        <w:r>
          <w:rPr>
            <w:color w:val="0000FF"/>
          </w:rPr>
          <w:t>пунктом 22</w:t>
        </w:r>
      </w:hyperlink>
      <w:r>
        <w:t xml:space="preserve"> настоящего документа.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19. Предварительные химико-токсикологические исследования осуществляются в медицинских организациях, имеющих лицензию на осуществление медицинской деятельности, предусматривающей выполнение работ (услуг) по лабораторной диагностике либо клинической лабораторной диагностике, и оснащение в соответствии с порядком, утверждаемым Министерством здравоохранения Российской Федерации.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20. Подтверждающие химико-токсикологические исследования осуществляются в медицинских организациях, имеющих лицензию на осуществление медицинской деятельности, предусматривающей выполнение работ (услуг) по психиатрии-наркологии и лабораторной диагностике либо клинической лабораторной диагностике.</w:t>
      </w:r>
    </w:p>
    <w:p w:rsidR="002E50C8" w:rsidRDefault="002E50C8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21. Предварительные химико-токсикологические исследования в обязательном порядке проводятся на такие химические вещества, включая их производные, метаболиты и аналоги, как опиаты, каннабиноиды, </w:t>
      </w:r>
      <w:proofErr w:type="spellStart"/>
      <w:r>
        <w:t>фенилалкиламины</w:t>
      </w:r>
      <w:proofErr w:type="spellEnd"/>
      <w:r>
        <w:t xml:space="preserve"> (амфетамин, метамфетамин), синтетические </w:t>
      </w:r>
      <w:proofErr w:type="spellStart"/>
      <w:r>
        <w:t>катиноны</w:t>
      </w:r>
      <w:proofErr w:type="spellEnd"/>
      <w:r>
        <w:t>, кокаин, метадон, бензодиазепины, барбитураты и фенциклидин.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 xml:space="preserve">Предварительные химико-токсикологические исследования для выявления наличия в организме работника, проходящего медицинский осмотр с использованием медицинского изделия, веществ, указанных в </w:t>
      </w:r>
      <w:hyperlink w:anchor="P69">
        <w:r>
          <w:rPr>
            <w:color w:val="0000FF"/>
          </w:rPr>
          <w:t>абзаце первом</w:t>
        </w:r>
      </w:hyperlink>
      <w:r>
        <w:t xml:space="preserve">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2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2E50C8" w:rsidRDefault="002E50C8">
      <w:pPr>
        <w:pStyle w:val="ConsPlusNormal"/>
        <w:spacing w:before="220"/>
        <w:ind w:firstLine="540"/>
        <w:jc w:val="both"/>
      </w:pPr>
      <w:bookmarkStart w:id="5" w:name="P71"/>
      <w:bookmarkEnd w:id="5"/>
      <w:r>
        <w:t>22. По окончании предварительного химико-токсикологического исследования в случае наличия в образце биологического объекта (мочи)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23.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со дня отбора образца биологического объекта (мочи).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Срок проведения подтверждающего химико-токсикологического исследования не должен превышать 3 рабочих дней со дня поступления образца биологического объекта (мочи) в химико-токсикологическую лабораторию.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Образцы биологических объектов (мочи) хранятся в химико-токсикологической лаборатории в течение 3 месяцев со дня проведения подтверждающих химико-токсикологических исследований, а полученные результаты - в электронном виде в течение 5 лет.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24. Результаты химико-токсикологических исследований отражаются в справке о результатах химико-токсикологических исследований по форме, утвержденной Министерством здравоохранения Российской Федерации,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2E50C8" w:rsidRDefault="002E50C8">
      <w:pPr>
        <w:pStyle w:val="ConsPlusNormal"/>
        <w:spacing w:before="220"/>
        <w:ind w:firstLine="540"/>
        <w:jc w:val="both"/>
      </w:pPr>
      <w:r>
        <w:t>25. Медицинская организация выдает работнику копию справки о результатах химико-</w:t>
      </w:r>
      <w:r>
        <w:lastRenderedPageBreak/>
        <w:t>токсикологических исследований работника, проходящего медицинский осмотр с использованием медицинского изделия.</w:t>
      </w:r>
    </w:p>
    <w:p w:rsidR="002E50C8" w:rsidRDefault="002E50C8">
      <w:pPr>
        <w:pStyle w:val="ConsPlusNormal"/>
        <w:ind w:firstLine="540"/>
        <w:jc w:val="both"/>
      </w:pPr>
    </w:p>
    <w:p w:rsidR="002E50C8" w:rsidRDefault="002E50C8">
      <w:pPr>
        <w:pStyle w:val="ConsPlusNormal"/>
        <w:ind w:firstLine="540"/>
        <w:jc w:val="both"/>
      </w:pPr>
    </w:p>
    <w:p w:rsidR="002E50C8" w:rsidRDefault="002E50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A1D" w:rsidRDefault="00816A1D"/>
    <w:sectPr w:rsidR="00816A1D" w:rsidSect="00E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C8"/>
    <w:rsid w:val="002E50C8"/>
    <w:rsid w:val="008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0541-BF24-43EB-9354-800A7186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0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50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50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449404338E209DC4C66C84472CE28050640BEF64F3D45CA8ED85E64469B255B663AD3510FC848A805C1C3C24D3CC899739906CD4303BAm9k6X" TargetMode="External"/><Relationship Id="rId13" Type="http://schemas.openxmlformats.org/officeDocument/2006/relationships/hyperlink" Target="consultantplus://offline/ref=45E449404338E209DC4C66C84472CE2802034FBFF1493D45CA8ED85E64469B255B663AD3510FCA49AF05C1C3C24D3CC899739906CD4303BAm9k6X" TargetMode="External"/><Relationship Id="rId18" Type="http://schemas.openxmlformats.org/officeDocument/2006/relationships/hyperlink" Target="consultantplus://offline/ref=45E449404338E209DC4C66C84472CE28020440BBF6413D45CA8ED85E64469B255B663AD35908C31DFC4AC09F87102FC996739B01D1m4k2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E449404338E209DC4C66C84472CE2802034FBDF44A3D45CA8ED85E64469B255B663AD3510FCC41AA05C1C3C24D3CC899739906CD4303BAm9k6X" TargetMode="External"/><Relationship Id="rId12" Type="http://schemas.openxmlformats.org/officeDocument/2006/relationships/hyperlink" Target="consultantplus://offline/ref=45E449404338E209DC4C66C84472CE2802044EBEF1403D45CA8ED85E64469B255B663AD3510FC848A405C1C3C24D3CC899739906CD4303BAm9k6X" TargetMode="External"/><Relationship Id="rId17" Type="http://schemas.openxmlformats.org/officeDocument/2006/relationships/hyperlink" Target="consultantplus://offline/ref=45E449404338E209DC4C66C84472CE28020340BCF0483D45CA8ED85E64469B255B663AD3510FC84AAF05C1C3C24D3CC899739906CD4303BAm9k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E449404338E209DC4C66C84472CE2802034FBFF1493D45CA8ED85E64469B255B663AD3510FC841AB05C1C3C24D3CC899739906CD4303BAm9k6X" TargetMode="External"/><Relationship Id="rId20" Type="http://schemas.openxmlformats.org/officeDocument/2006/relationships/hyperlink" Target="consultantplus://offline/ref=45E449404338E209DC4C66C84472CE28020440BBF6413D45CA8ED85E64469B255B663AD3510EC94AAA05C1C3C24D3CC899739906CD4303BAm9k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449404338E209DC4C66C84472CE2802034FBDF44A3D45CA8ED85E64469B255B663AD5540BC31DFC4AC09F87102FC996739B01D1m4k2X" TargetMode="External"/><Relationship Id="rId11" Type="http://schemas.openxmlformats.org/officeDocument/2006/relationships/hyperlink" Target="consultantplus://offline/ref=45E449404338E209DC4C66C84472CE28020440BBF6413D45CA8ED85E64469B255B663AD5510BC31DFC4AC09F87102FC996739B01D1m4k2X" TargetMode="External"/><Relationship Id="rId5" Type="http://schemas.openxmlformats.org/officeDocument/2006/relationships/hyperlink" Target="consultantplus://offline/ref=45E449404338E209DC4C66C84472CE2802034FBDF44A3D45CA8ED85E64469B255B663AD3510FCC41AB05C1C3C24D3CC899739906CD4303BAm9k6X" TargetMode="External"/><Relationship Id="rId15" Type="http://schemas.openxmlformats.org/officeDocument/2006/relationships/hyperlink" Target="consultantplus://offline/ref=45E449404338E209DC4C66C84472CE2802034FBFF1493D45CA8ED85E64469B255B663AD3510FCA4FAB05C1C3C24D3CC899739906CD4303BAm9k6X" TargetMode="External"/><Relationship Id="rId10" Type="http://schemas.openxmlformats.org/officeDocument/2006/relationships/hyperlink" Target="consultantplus://offline/ref=45E449404338E209DC4C66C84472CE2805094DBFF24F3D45CA8ED85E64469B255B663AD3510FC941AB05C1C3C24D3CC899739906CD4303BAm9k6X" TargetMode="External"/><Relationship Id="rId19" Type="http://schemas.openxmlformats.org/officeDocument/2006/relationships/hyperlink" Target="consultantplus://offline/ref=45E449404338E209DC4C66C84472CE2802034FBDF44A3D45CA8ED85E64469B255B663AD55407C31DFC4AC09F87102FC996739B01D1m4k2X" TargetMode="External"/><Relationship Id="rId4" Type="http://schemas.openxmlformats.org/officeDocument/2006/relationships/hyperlink" Target="consultantplus://offline/ref=45E449404338E209DC4C66C84472CE2802034FBDF44A3D45CA8ED85E64469B255B663AD55406C31DFC4AC09F87102FC996739B01D1m4k2X" TargetMode="External"/><Relationship Id="rId9" Type="http://schemas.openxmlformats.org/officeDocument/2006/relationships/hyperlink" Target="consultantplus://offline/ref=45E449404338E209DC4C66C84472CE2805084EB8F1403D45CA8ED85E64469B25496662DF5007D649AA10979284m1kBX" TargetMode="External"/><Relationship Id="rId14" Type="http://schemas.openxmlformats.org/officeDocument/2006/relationships/hyperlink" Target="consultantplus://offline/ref=45E449404338E209DC4C66C84472CE2802034FBFF1493D45CA8ED85E64469B255B663AD3510FCA4FA805C1C3C24D3CC899739906CD4303BAm9k6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2877</Words>
  <Characters>16399</Characters>
  <Application>Microsoft Office Word</Application>
  <DocSecurity>0</DocSecurity>
  <Lines>136</Lines>
  <Paragraphs>38</Paragraphs>
  <ScaleCrop>false</ScaleCrop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2023-07-17T23:36:00Z</dcterms:created>
  <dcterms:modified xsi:type="dcterms:W3CDTF">2023-07-17T23:38:00Z</dcterms:modified>
</cp:coreProperties>
</file>